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E60D" w14:textId="77777777" w:rsidR="00C02F50" w:rsidRPr="00C02F50" w:rsidRDefault="00C02F50" w:rsidP="00C02F50">
      <w:pPr>
        <w:jc w:val="center"/>
        <w:rPr>
          <w:rFonts w:ascii="Calibri" w:eastAsia="Calibri" w:hAnsi="Calibri" w:cs="Times New Roman"/>
        </w:rPr>
      </w:pPr>
      <w:r w:rsidRPr="00C02F50">
        <w:rPr>
          <w:rFonts w:ascii="Calibri" w:eastAsia="Calibri" w:hAnsi="Calibri" w:cs="Times New Roman"/>
        </w:rPr>
        <w:t>REGULAMIN UCZESTNICTWA W KONKURSIE GRANTOWYM</w:t>
      </w:r>
    </w:p>
    <w:p w14:paraId="1AE442E3" w14:textId="77777777" w:rsidR="00C02F50" w:rsidRPr="00C02F50" w:rsidRDefault="00C02F50" w:rsidP="00C02F50">
      <w:pPr>
        <w:jc w:val="center"/>
        <w:rPr>
          <w:rFonts w:ascii="Calibri" w:eastAsia="Calibri" w:hAnsi="Calibri" w:cs="Times New Roman"/>
        </w:rPr>
      </w:pPr>
      <w:r w:rsidRPr="00C02F50">
        <w:rPr>
          <w:rFonts w:ascii="Calibri" w:eastAsia="Calibri" w:hAnsi="Calibri" w:cs="Times New Roman"/>
        </w:rPr>
        <w:t>Konkurs dla organizacji polonijnych</w:t>
      </w:r>
    </w:p>
    <w:p w14:paraId="41E6C0DA" w14:textId="77777777" w:rsidR="00C02F50" w:rsidRPr="00C02F50" w:rsidRDefault="00C02F50" w:rsidP="00C02F50">
      <w:pPr>
        <w:jc w:val="both"/>
        <w:rPr>
          <w:rFonts w:ascii="Calibri" w:eastAsia="Calibri" w:hAnsi="Calibri" w:cs="Times New Roman"/>
        </w:rPr>
      </w:pPr>
      <w:r w:rsidRPr="00C02F50">
        <w:rPr>
          <w:rFonts w:ascii="Calibri" w:eastAsia="Calibri" w:hAnsi="Calibri" w:cs="Times New Roman"/>
        </w:rPr>
        <w:t xml:space="preserve">Konkurs dla organizacji polonijnych - </w:t>
      </w:r>
      <w:proofErr w:type="spellStart"/>
      <w:r w:rsidRPr="00C02F50">
        <w:rPr>
          <w:rFonts w:ascii="Calibri" w:eastAsia="Calibri" w:hAnsi="Calibri" w:cs="Times New Roman"/>
        </w:rPr>
        <w:t>regranting</w:t>
      </w:r>
      <w:proofErr w:type="spellEnd"/>
      <w:r w:rsidRPr="00C02F50">
        <w:rPr>
          <w:rFonts w:ascii="Calibri" w:eastAsia="Calibri" w:hAnsi="Calibri" w:cs="Times New Roman"/>
        </w:rPr>
        <w:t xml:space="preserve">  jest realizowany przez Stowarzyszenie Wspólnota Polska (zwane dalej „SWP”) i współfinansowany jest w ramach konkursu Kancelarii Prezesa Rady Ministrów (zwanego dalej „KPRM”) w ramach programu „Polonia i Polacy za Granicą 2022”.</w:t>
      </w:r>
    </w:p>
    <w:p w14:paraId="4C814DFD" w14:textId="77777777" w:rsidR="00C02F50" w:rsidRPr="00C02F50" w:rsidRDefault="00C02F50" w:rsidP="00C02F50">
      <w:pPr>
        <w:numPr>
          <w:ilvl w:val="0"/>
          <w:numId w:val="3"/>
        </w:numPr>
        <w:contextualSpacing/>
        <w:jc w:val="both"/>
        <w:rPr>
          <w:rFonts w:ascii="Calibri" w:eastAsia="Calibri" w:hAnsi="Calibri" w:cs="Times New Roman"/>
        </w:rPr>
      </w:pPr>
      <w:r w:rsidRPr="00C02F50">
        <w:rPr>
          <w:rFonts w:ascii="Calibri" w:eastAsia="Calibri" w:hAnsi="Calibri" w:cs="Times New Roman"/>
        </w:rPr>
        <w:t>Zakres konkursu</w:t>
      </w:r>
    </w:p>
    <w:p w14:paraId="1799BC87" w14:textId="77777777" w:rsidR="00C02F50" w:rsidRPr="00C02F50" w:rsidRDefault="00C02F50" w:rsidP="00C02F50">
      <w:pPr>
        <w:numPr>
          <w:ilvl w:val="0"/>
          <w:numId w:val="10"/>
        </w:numPr>
        <w:contextualSpacing/>
        <w:jc w:val="both"/>
        <w:rPr>
          <w:rFonts w:ascii="Calibri" w:eastAsia="Calibri" w:hAnsi="Calibri" w:cs="Times New Roman"/>
        </w:rPr>
      </w:pPr>
      <w:r w:rsidRPr="00C02F50">
        <w:rPr>
          <w:rFonts w:ascii="Calibri" w:eastAsia="Calibri" w:hAnsi="Calibri" w:cs="Times New Roman"/>
        </w:rPr>
        <w:t xml:space="preserve">Celem konkursu jest wyłonienie i dofinansowanie najlepszych inicjatyw realizujących cel programu „Polonia i Polacy za granicą 2022”, w szczególności wydarzeń związanych z promowaniem polskiej kultury, sportu, inicjatyw naukowych poprzez realizację wydarzeń polonijnych włączających lokalną społeczność. Celem szczegółowym jest zwiększenie integracji środowisk polonijnych na świecie, wzmacnianie więzi i kontaktów z Polską. </w:t>
      </w:r>
    </w:p>
    <w:p w14:paraId="7FE243CE" w14:textId="77777777" w:rsidR="00C02F50" w:rsidRPr="00C02F50" w:rsidRDefault="00C02F50" w:rsidP="00C02F50">
      <w:pPr>
        <w:numPr>
          <w:ilvl w:val="0"/>
          <w:numId w:val="10"/>
        </w:numPr>
        <w:contextualSpacing/>
        <w:jc w:val="both"/>
        <w:rPr>
          <w:rFonts w:ascii="Calibri" w:eastAsia="Calibri" w:hAnsi="Calibri" w:cs="Times New Roman"/>
        </w:rPr>
      </w:pPr>
      <w:r w:rsidRPr="00C02F50">
        <w:rPr>
          <w:rFonts w:ascii="Calibri" w:eastAsia="Calibri" w:hAnsi="Calibri" w:cs="Times New Roman"/>
        </w:rPr>
        <w:t>Obszar terytorialny realizowanych projektów: Europa, Ameryka Północna i Ameryka Południowa.</w:t>
      </w:r>
    </w:p>
    <w:p w14:paraId="265041F4" w14:textId="77777777" w:rsidR="00C02F50" w:rsidRPr="00C02F50" w:rsidRDefault="00C02F50" w:rsidP="00C02F50">
      <w:pPr>
        <w:numPr>
          <w:ilvl w:val="0"/>
          <w:numId w:val="10"/>
        </w:numPr>
        <w:contextualSpacing/>
        <w:jc w:val="both"/>
        <w:rPr>
          <w:rFonts w:ascii="Calibri" w:eastAsia="Calibri" w:hAnsi="Calibri" w:cs="Times New Roman"/>
        </w:rPr>
      </w:pPr>
      <w:r w:rsidRPr="00C02F50">
        <w:rPr>
          <w:rFonts w:ascii="Calibri" w:eastAsia="Calibri" w:hAnsi="Calibri" w:cs="Times New Roman"/>
        </w:rPr>
        <w:t xml:space="preserve">Maksymalna kwota dofinansowania grupy formalnej to 9 000 złotych </w:t>
      </w:r>
      <w:bookmarkStart w:id="0" w:name="_Hlk106713376"/>
      <w:r w:rsidRPr="00C02F50">
        <w:rPr>
          <w:rFonts w:ascii="Calibri" w:eastAsia="Calibri" w:hAnsi="Calibri" w:cs="Times New Roman"/>
        </w:rPr>
        <w:t>(słownie: dziewięć tysięcy złotych)</w:t>
      </w:r>
      <w:bookmarkEnd w:id="0"/>
      <w:r w:rsidRPr="00C02F50">
        <w:rPr>
          <w:rFonts w:ascii="Calibri" w:eastAsia="Calibri" w:hAnsi="Calibri" w:cs="Times New Roman"/>
        </w:rPr>
        <w:t xml:space="preserve">, grupy nieformalnej to 4 000 zł ( słownie: cztery tysięcy złotych). </w:t>
      </w:r>
    </w:p>
    <w:p w14:paraId="6FFEFAE4" w14:textId="77777777" w:rsidR="00C02F50" w:rsidRPr="00C02F50" w:rsidRDefault="00C02F50" w:rsidP="00C02F50">
      <w:pPr>
        <w:numPr>
          <w:ilvl w:val="0"/>
          <w:numId w:val="10"/>
        </w:numPr>
        <w:ind w:left="1080"/>
        <w:contextualSpacing/>
        <w:jc w:val="both"/>
        <w:rPr>
          <w:rFonts w:ascii="Calibri" w:eastAsia="Calibri" w:hAnsi="Calibri" w:cs="Times New Roman"/>
        </w:rPr>
      </w:pPr>
      <w:r w:rsidRPr="00C02F50">
        <w:rPr>
          <w:rFonts w:ascii="Calibri" w:eastAsia="Calibri" w:hAnsi="Calibri" w:cs="Times New Roman"/>
        </w:rPr>
        <w:t>W konkursie zostanie rozdysponowana kwota 486 000 zł (słownie czterysta osiemdziesiąt sześć tysięcy złotych).</w:t>
      </w:r>
    </w:p>
    <w:p w14:paraId="23EBE116" w14:textId="77777777" w:rsidR="00C02F50" w:rsidRPr="00C02F50" w:rsidRDefault="00C02F50" w:rsidP="00C02F50">
      <w:pPr>
        <w:numPr>
          <w:ilvl w:val="0"/>
          <w:numId w:val="3"/>
        </w:numPr>
        <w:contextualSpacing/>
        <w:jc w:val="both"/>
        <w:rPr>
          <w:rFonts w:ascii="Calibri" w:eastAsia="Calibri" w:hAnsi="Calibri" w:cs="Times New Roman"/>
        </w:rPr>
      </w:pPr>
      <w:r w:rsidRPr="00C02F50">
        <w:rPr>
          <w:rFonts w:ascii="Calibri" w:eastAsia="Calibri" w:hAnsi="Calibri" w:cs="Times New Roman"/>
        </w:rPr>
        <w:t>Podmioty uprawnione do udziału w konkursie</w:t>
      </w:r>
    </w:p>
    <w:p w14:paraId="2B26BDF8" w14:textId="77777777" w:rsidR="00C02F50" w:rsidRPr="00C02F50" w:rsidRDefault="00C02F50" w:rsidP="00C02F50">
      <w:pPr>
        <w:numPr>
          <w:ilvl w:val="0"/>
          <w:numId w:val="9"/>
        </w:numPr>
        <w:contextualSpacing/>
        <w:jc w:val="both"/>
        <w:rPr>
          <w:rFonts w:ascii="Calibri" w:eastAsia="Calibri" w:hAnsi="Calibri" w:cs="Times New Roman"/>
        </w:rPr>
      </w:pPr>
      <w:r w:rsidRPr="00C02F50">
        <w:rPr>
          <w:rFonts w:ascii="Calibri" w:eastAsia="Calibri" w:hAnsi="Calibri" w:cs="Times New Roman"/>
        </w:rPr>
        <w:t>O przyznanie dofinansowania w ramach konkursu mogą ubiegać się Polonia i Polacy mieszkający za granicą:</w:t>
      </w:r>
    </w:p>
    <w:p w14:paraId="085296AF" w14:textId="77777777" w:rsidR="00C02F50" w:rsidRPr="00C02F50" w:rsidRDefault="00C02F50" w:rsidP="00C02F50">
      <w:pPr>
        <w:numPr>
          <w:ilvl w:val="0"/>
          <w:numId w:val="4"/>
        </w:numPr>
        <w:contextualSpacing/>
        <w:jc w:val="both"/>
        <w:rPr>
          <w:rFonts w:ascii="Calibri" w:eastAsia="Calibri" w:hAnsi="Calibri" w:cs="Times New Roman"/>
        </w:rPr>
      </w:pPr>
      <w:r w:rsidRPr="00C02F50">
        <w:rPr>
          <w:rFonts w:ascii="Calibri" w:eastAsia="Calibri" w:hAnsi="Calibri" w:cs="Times New Roman"/>
        </w:rPr>
        <w:t>Grupy formalne, rozumiane jako - organizacje polonijne lub Polaków poza granicami, zarejestrowane poza granicami Polski;</w:t>
      </w:r>
    </w:p>
    <w:p w14:paraId="636B64E7" w14:textId="77777777" w:rsidR="00C02F50" w:rsidRPr="00C02F50" w:rsidRDefault="00C02F50" w:rsidP="00C02F50">
      <w:pPr>
        <w:numPr>
          <w:ilvl w:val="0"/>
          <w:numId w:val="4"/>
        </w:numPr>
        <w:contextualSpacing/>
        <w:jc w:val="both"/>
        <w:rPr>
          <w:rFonts w:ascii="Calibri" w:eastAsia="Calibri" w:hAnsi="Calibri" w:cs="Times New Roman"/>
        </w:rPr>
      </w:pPr>
      <w:r w:rsidRPr="00C02F50">
        <w:rPr>
          <w:rFonts w:ascii="Calibri" w:eastAsia="Calibri" w:hAnsi="Calibri" w:cs="Times New Roman"/>
        </w:rPr>
        <w:t>Grupy nieformalne, rozumiane jako grupa co najmniej trzech osób, chcących wspólnie zorganizować projekt na rzecz Polonii i Polaków poza granicami Ojczyzny.</w:t>
      </w:r>
    </w:p>
    <w:p w14:paraId="2A0AEE00" w14:textId="77777777" w:rsidR="00C02F50" w:rsidRPr="00C02F50" w:rsidRDefault="00C02F50" w:rsidP="00C02F50">
      <w:pPr>
        <w:numPr>
          <w:ilvl w:val="0"/>
          <w:numId w:val="9"/>
        </w:numPr>
        <w:contextualSpacing/>
        <w:jc w:val="both"/>
        <w:rPr>
          <w:rFonts w:ascii="Calibri" w:eastAsia="Calibri" w:hAnsi="Calibri" w:cs="Times New Roman"/>
        </w:rPr>
      </w:pPr>
      <w:r w:rsidRPr="00C02F50">
        <w:rPr>
          <w:rFonts w:ascii="Calibri" w:eastAsia="Calibri" w:hAnsi="Calibri" w:cs="Times New Roman"/>
        </w:rPr>
        <w:t>Dotacje nie mogą być przyznane podmiotom zależnym od SWP – jednostkom terenowym SWP posiadającym osobowość prawną.</w:t>
      </w:r>
    </w:p>
    <w:p w14:paraId="0059480D" w14:textId="77777777" w:rsidR="00C02F50" w:rsidRPr="00C02F50" w:rsidRDefault="00C02F50" w:rsidP="00C02F50">
      <w:pPr>
        <w:numPr>
          <w:ilvl w:val="0"/>
          <w:numId w:val="9"/>
        </w:numPr>
        <w:contextualSpacing/>
        <w:jc w:val="both"/>
        <w:rPr>
          <w:rFonts w:ascii="Calibri" w:eastAsia="Calibri" w:hAnsi="Calibri" w:cs="Times New Roman"/>
        </w:rPr>
      </w:pPr>
      <w:r w:rsidRPr="00C02F50">
        <w:rPr>
          <w:rFonts w:ascii="Calibri" w:eastAsia="Calibri" w:hAnsi="Calibri" w:cs="Times New Roman"/>
        </w:rPr>
        <w:t>Osoby pełniące funkcje w organach zarządzających lub organach kontroli i nadzoru oraz pracownicy SWP, a także osoby im najbliższe, nie mogą uczestniczyć w procedurze wnioskowania o granty oraz wykonywać innych zajęć zarobkowych na rzecz podmiotu, z którym zawarto umowę o przyznanie grantu, ani być członkami organów zarządzających, kontroli lub nadzoru podmiotów, z którymi zawarto taką umowę.</w:t>
      </w:r>
    </w:p>
    <w:p w14:paraId="7C2DCA39" w14:textId="77777777" w:rsidR="00C02F50" w:rsidRPr="00C02F50" w:rsidRDefault="00C02F50" w:rsidP="00C02F50">
      <w:pPr>
        <w:ind w:left="720"/>
        <w:contextualSpacing/>
        <w:jc w:val="both"/>
        <w:rPr>
          <w:rFonts w:ascii="Calibri" w:eastAsia="Calibri" w:hAnsi="Calibri" w:cs="Times New Roman"/>
        </w:rPr>
      </w:pPr>
    </w:p>
    <w:p w14:paraId="03B3F30F" w14:textId="77777777" w:rsidR="00C02F50" w:rsidRPr="00C02F50" w:rsidRDefault="00C02F50" w:rsidP="00C02F50">
      <w:pPr>
        <w:numPr>
          <w:ilvl w:val="0"/>
          <w:numId w:val="3"/>
        </w:numPr>
        <w:contextualSpacing/>
        <w:jc w:val="both"/>
        <w:rPr>
          <w:rFonts w:ascii="Calibri" w:eastAsia="Calibri" w:hAnsi="Calibri" w:cs="Times New Roman"/>
        </w:rPr>
      </w:pPr>
      <w:r w:rsidRPr="00C02F50">
        <w:rPr>
          <w:rFonts w:ascii="Calibri" w:eastAsia="Calibri" w:hAnsi="Calibri" w:cs="Times New Roman"/>
        </w:rPr>
        <w:t>Pakiet informacyjno-doradczy dla organizacji składających wnioski w konkursie.</w:t>
      </w:r>
    </w:p>
    <w:p w14:paraId="29803C2D" w14:textId="77777777" w:rsidR="00C02F50" w:rsidRPr="00C02F50" w:rsidRDefault="00C02F50" w:rsidP="00C02F50">
      <w:pPr>
        <w:ind w:left="720"/>
        <w:contextualSpacing/>
        <w:jc w:val="both"/>
        <w:rPr>
          <w:rFonts w:ascii="Calibri" w:eastAsia="Calibri" w:hAnsi="Calibri" w:cs="Times New Roman"/>
        </w:rPr>
      </w:pPr>
      <w:r w:rsidRPr="00C02F50">
        <w:rPr>
          <w:rFonts w:ascii="Calibri" w:eastAsia="Calibri" w:hAnsi="Calibri" w:cs="Times New Roman"/>
        </w:rPr>
        <w:t>Podmioty wnioskujące mogą uzyskać wsparcie zespołu projektu w przygotowaniu wniosku i następnie w realizacji projektu. W ramach pakietu oferowane będą następujące typy wsparcia:</w:t>
      </w:r>
    </w:p>
    <w:p w14:paraId="379146E4" w14:textId="77777777" w:rsidR="00C02F50" w:rsidRPr="00C02F50" w:rsidRDefault="00C02F50" w:rsidP="00C02F50">
      <w:pPr>
        <w:numPr>
          <w:ilvl w:val="0"/>
          <w:numId w:val="16"/>
        </w:numPr>
        <w:contextualSpacing/>
        <w:jc w:val="both"/>
        <w:rPr>
          <w:rFonts w:ascii="Calibri" w:eastAsia="Calibri" w:hAnsi="Calibri" w:cs="Times New Roman"/>
        </w:rPr>
      </w:pPr>
      <w:r w:rsidRPr="00C02F50">
        <w:rPr>
          <w:rFonts w:ascii="Calibri" w:eastAsia="Calibri" w:hAnsi="Calibri" w:cs="Times New Roman"/>
        </w:rPr>
        <w:t>Spotkanie informacyjno-konsultacyjne (2 spotkania po 3 godziny każde).</w:t>
      </w:r>
    </w:p>
    <w:p w14:paraId="5B5969AD" w14:textId="77777777" w:rsidR="00C02F50" w:rsidRPr="00C02F50" w:rsidRDefault="00C02F50" w:rsidP="00C02F50">
      <w:pPr>
        <w:numPr>
          <w:ilvl w:val="0"/>
          <w:numId w:val="16"/>
        </w:numPr>
        <w:contextualSpacing/>
        <w:jc w:val="both"/>
        <w:rPr>
          <w:rFonts w:ascii="Calibri" w:eastAsia="Calibri" w:hAnsi="Calibri" w:cs="Times New Roman"/>
        </w:rPr>
      </w:pPr>
      <w:r w:rsidRPr="00C02F50">
        <w:rPr>
          <w:rFonts w:ascii="Calibri" w:eastAsia="Calibri" w:hAnsi="Calibri" w:cs="Times New Roman"/>
        </w:rPr>
        <w:t>Indywidualne konsultacje sprawdzające wniosek pod względem formalnym przed złożeniem wniosku o dofinansowanie.</w:t>
      </w:r>
    </w:p>
    <w:p w14:paraId="1037EB51" w14:textId="77777777" w:rsidR="00C02F50" w:rsidRPr="00C02F50" w:rsidRDefault="00C02F50" w:rsidP="00C02F50">
      <w:pPr>
        <w:numPr>
          <w:ilvl w:val="0"/>
          <w:numId w:val="16"/>
        </w:numPr>
        <w:contextualSpacing/>
        <w:jc w:val="both"/>
        <w:rPr>
          <w:rFonts w:ascii="Calibri" w:eastAsia="Calibri" w:hAnsi="Calibri" w:cs="Times New Roman"/>
        </w:rPr>
      </w:pPr>
      <w:r w:rsidRPr="00C02F50">
        <w:rPr>
          <w:rFonts w:ascii="Calibri" w:eastAsia="Calibri" w:hAnsi="Calibri" w:cs="Times New Roman"/>
        </w:rPr>
        <w:t>Help-</w:t>
      </w:r>
      <w:proofErr w:type="spellStart"/>
      <w:r w:rsidRPr="00C02F50">
        <w:rPr>
          <w:rFonts w:ascii="Calibri" w:eastAsia="Calibri" w:hAnsi="Calibri" w:cs="Times New Roman"/>
        </w:rPr>
        <w:t>desk</w:t>
      </w:r>
      <w:proofErr w:type="spellEnd"/>
      <w:r w:rsidRPr="00C02F50">
        <w:rPr>
          <w:rFonts w:ascii="Calibri" w:eastAsia="Calibri" w:hAnsi="Calibri" w:cs="Times New Roman"/>
        </w:rPr>
        <w:t xml:space="preserve"> - wirtualne forum problemowe w czasie realizacji grantu.</w:t>
      </w:r>
    </w:p>
    <w:p w14:paraId="4C4B3141" w14:textId="2604B711" w:rsidR="00C02F50" w:rsidRDefault="00C02F50" w:rsidP="00C02F50">
      <w:pPr>
        <w:jc w:val="both"/>
        <w:rPr>
          <w:rFonts w:ascii="Calibri" w:eastAsia="Calibri" w:hAnsi="Calibri" w:cs="Times New Roman"/>
        </w:rPr>
      </w:pPr>
    </w:p>
    <w:p w14:paraId="1DEFBB7A" w14:textId="77777777" w:rsidR="00C15EF2" w:rsidRPr="00C02F50" w:rsidRDefault="00C15EF2" w:rsidP="00C02F50">
      <w:pPr>
        <w:jc w:val="both"/>
        <w:rPr>
          <w:rFonts w:ascii="Calibri" w:eastAsia="Calibri" w:hAnsi="Calibri" w:cs="Times New Roman"/>
        </w:rPr>
      </w:pPr>
    </w:p>
    <w:p w14:paraId="7BAD789B" w14:textId="77777777" w:rsidR="00C02F50" w:rsidRPr="00C02F50" w:rsidRDefault="00C02F50" w:rsidP="00C02F50">
      <w:pPr>
        <w:numPr>
          <w:ilvl w:val="0"/>
          <w:numId w:val="3"/>
        </w:numPr>
        <w:contextualSpacing/>
        <w:jc w:val="both"/>
        <w:rPr>
          <w:rFonts w:ascii="Calibri" w:eastAsia="Calibri" w:hAnsi="Calibri" w:cs="Times New Roman"/>
        </w:rPr>
      </w:pPr>
      <w:r w:rsidRPr="00C02F50">
        <w:rPr>
          <w:rFonts w:ascii="Calibri" w:eastAsia="Calibri" w:hAnsi="Calibri" w:cs="Times New Roman"/>
        </w:rPr>
        <w:lastRenderedPageBreak/>
        <w:t>Harmonogram konkursu.</w:t>
      </w:r>
    </w:p>
    <w:p w14:paraId="48F8C506" w14:textId="77777777" w:rsidR="00C02F50" w:rsidRPr="00C02F50" w:rsidRDefault="00C02F50" w:rsidP="00C02F50">
      <w:pPr>
        <w:numPr>
          <w:ilvl w:val="0"/>
          <w:numId w:val="5"/>
        </w:numPr>
        <w:contextualSpacing/>
        <w:jc w:val="both"/>
        <w:rPr>
          <w:rFonts w:ascii="Calibri" w:eastAsia="Calibri" w:hAnsi="Calibri" w:cs="Times New Roman"/>
        </w:rPr>
      </w:pPr>
      <w:r w:rsidRPr="00C02F50">
        <w:rPr>
          <w:rFonts w:ascii="Calibri" w:eastAsia="Calibri" w:hAnsi="Calibri" w:cs="Times New Roman"/>
        </w:rPr>
        <w:t>Termin składania wniosków upływa do dnia 30.07.2022 o godz. 23:59</w:t>
      </w:r>
    </w:p>
    <w:p w14:paraId="0AAB549E" w14:textId="77777777" w:rsidR="00C02F50" w:rsidRPr="00C02F50" w:rsidRDefault="00C02F50" w:rsidP="00C02F50">
      <w:pPr>
        <w:numPr>
          <w:ilvl w:val="0"/>
          <w:numId w:val="5"/>
        </w:numPr>
        <w:contextualSpacing/>
        <w:jc w:val="both"/>
        <w:rPr>
          <w:rFonts w:ascii="Calibri" w:eastAsia="Calibri" w:hAnsi="Calibri" w:cs="Times New Roman"/>
        </w:rPr>
      </w:pPr>
      <w:r w:rsidRPr="00C02F50">
        <w:rPr>
          <w:rFonts w:ascii="Calibri" w:eastAsia="Calibri" w:hAnsi="Calibri" w:cs="Times New Roman"/>
        </w:rPr>
        <w:t>Ogłoszenie wyników konkursu nastąpi do dnia 16.08.2022</w:t>
      </w:r>
    </w:p>
    <w:p w14:paraId="69D9F847" w14:textId="6DEF3E86" w:rsidR="00C02F50" w:rsidRPr="00C02F50" w:rsidRDefault="00C02F50" w:rsidP="00C02F50">
      <w:pPr>
        <w:numPr>
          <w:ilvl w:val="0"/>
          <w:numId w:val="5"/>
        </w:numPr>
        <w:contextualSpacing/>
        <w:jc w:val="both"/>
        <w:rPr>
          <w:rFonts w:ascii="Calibri" w:eastAsia="Calibri" w:hAnsi="Calibri" w:cs="Times New Roman"/>
        </w:rPr>
      </w:pPr>
      <w:r w:rsidRPr="00C02F50">
        <w:rPr>
          <w:rFonts w:ascii="Calibri" w:eastAsia="Calibri" w:hAnsi="Calibri" w:cs="Times New Roman"/>
        </w:rPr>
        <w:t>Termin</w:t>
      </w:r>
      <w:r w:rsidR="00625704">
        <w:rPr>
          <w:rFonts w:ascii="Calibri" w:eastAsia="Calibri" w:hAnsi="Calibri" w:cs="Times New Roman"/>
        </w:rPr>
        <w:t xml:space="preserve"> </w:t>
      </w:r>
      <w:r w:rsidRPr="00C02F50">
        <w:rPr>
          <w:rFonts w:ascii="Calibri" w:eastAsia="Calibri" w:hAnsi="Calibri" w:cs="Times New Roman"/>
        </w:rPr>
        <w:t xml:space="preserve">realizacji projektów od dnia 16.08.2022 </w:t>
      </w:r>
    </w:p>
    <w:p w14:paraId="6A16B58D" w14:textId="77777777" w:rsidR="00C02F50" w:rsidRPr="00C02F50" w:rsidRDefault="00C02F50" w:rsidP="00C02F50">
      <w:pPr>
        <w:numPr>
          <w:ilvl w:val="0"/>
          <w:numId w:val="5"/>
        </w:numPr>
        <w:contextualSpacing/>
        <w:jc w:val="both"/>
        <w:rPr>
          <w:rFonts w:ascii="Calibri" w:eastAsia="Calibri" w:hAnsi="Calibri" w:cs="Times New Roman"/>
        </w:rPr>
      </w:pPr>
      <w:r w:rsidRPr="00C02F50">
        <w:rPr>
          <w:rFonts w:ascii="Calibri" w:eastAsia="Calibri" w:hAnsi="Calibri" w:cs="Times New Roman"/>
        </w:rPr>
        <w:t xml:space="preserve">Zakończenie realizacji projektów do dnia 10.12.2022 </w:t>
      </w:r>
    </w:p>
    <w:p w14:paraId="043FC26F" w14:textId="77777777" w:rsidR="00C02F50" w:rsidRPr="00C02F50" w:rsidRDefault="00C02F50" w:rsidP="00C02F50">
      <w:pPr>
        <w:jc w:val="both"/>
        <w:rPr>
          <w:rFonts w:ascii="Calibri" w:eastAsia="Calibri" w:hAnsi="Calibri" w:cs="Times New Roman"/>
        </w:rPr>
      </w:pPr>
    </w:p>
    <w:p w14:paraId="1D12D87E" w14:textId="77777777" w:rsidR="00C02F50" w:rsidRPr="00C02F50" w:rsidRDefault="00C02F50" w:rsidP="00C02F50">
      <w:pPr>
        <w:numPr>
          <w:ilvl w:val="0"/>
          <w:numId w:val="3"/>
        </w:numPr>
        <w:contextualSpacing/>
        <w:jc w:val="both"/>
        <w:rPr>
          <w:rFonts w:ascii="Calibri" w:eastAsia="Calibri" w:hAnsi="Calibri" w:cs="Times New Roman"/>
        </w:rPr>
      </w:pPr>
      <w:r w:rsidRPr="00C02F50">
        <w:rPr>
          <w:rFonts w:ascii="Calibri" w:eastAsia="Calibri" w:hAnsi="Calibri" w:cs="Times New Roman"/>
        </w:rPr>
        <w:t>Grupa docelowa</w:t>
      </w:r>
    </w:p>
    <w:p w14:paraId="77082E24" w14:textId="77777777" w:rsidR="00C02F50" w:rsidRPr="00C02F50" w:rsidRDefault="00C02F50" w:rsidP="00C02F50">
      <w:pPr>
        <w:ind w:left="720"/>
        <w:contextualSpacing/>
        <w:jc w:val="both"/>
        <w:rPr>
          <w:rFonts w:ascii="Calibri" w:eastAsia="Calibri" w:hAnsi="Calibri" w:cs="Times New Roman"/>
        </w:rPr>
      </w:pPr>
      <w:r w:rsidRPr="00C02F50">
        <w:rPr>
          <w:rFonts w:ascii="Calibri" w:eastAsia="Calibri" w:hAnsi="Calibri" w:cs="Times New Roman"/>
        </w:rPr>
        <w:t>Projekty  powinny być skierowane do Polaków mieszkających poza granicami Polski w Europie i/lub Ameryce Południowej i/lub Ameryce Północnej.</w:t>
      </w:r>
    </w:p>
    <w:p w14:paraId="0FDF0927" w14:textId="77777777" w:rsidR="00C02F50" w:rsidRPr="00C02F50" w:rsidRDefault="00C02F50" w:rsidP="00C02F50">
      <w:pPr>
        <w:ind w:left="720"/>
        <w:contextualSpacing/>
        <w:jc w:val="both"/>
        <w:rPr>
          <w:rFonts w:ascii="Calibri" w:eastAsia="Calibri" w:hAnsi="Calibri" w:cs="Times New Roman"/>
        </w:rPr>
      </w:pPr>
    </w:p>
    <w:p w14:paraId="7A6ECA32" w14:textId="77777777" w:rsidR="00C02F50" w:rsidRPr="00C02F50" w:rsidRDefault="00C02F50" w:rsidP="00C02F50">
      <w:pPr>
        <w:numPr>
          <w:ilvl w:val="0"/>
          <w:numId w:val="3"/>
        </w:numPr>
        <w:contextualSpacing/>
        <w:jc w:val="both"/>
        <w:rPr>
          <w:rFonts w:ascii="Calibri" w:eastAsia="Calibri" w:hAnsi="Calibri" w:cs="Times New Roman"/>
        </w:rPr>
      </w:pPr>
      <w:r w:rsidRPr="00C02F50">
        <w:rPr>
          <w:rFonts w:ascii="Calibri" w:eastAsia="Calibri" w:hAnsi="Calibri" w:cs="Times New Roman"/>
        </w:rPr>
        <w:t>Sposób składania ofert/wniosków</w:t>
      </w:r>
    </w:p>
    <w:p w14:paraId="074FE6BD" w14:textId="77777777" w:rsidR="00C02F50" w:rsidRPr="00C02F50" w:rsidRDefault="00C02F50" w:rsidP="00C02F50">
      <w:pPr>
        <w:numPr>
          <w:ilvl w:val="0"/>
          <w:numId w:val="17"/>
        </w:numPr>
        <w:contextualSpacing/>
        <w:jc w:val="both"/>
        <w:rPr>
          <w:rFonts w:ascii="Calibri" w:eastAsia="Calibri" w:hAnsi="Calibri" w:cs="Times New Roman"/>
        </w:rPr>
      </w:pPr>
      <w:r w:rsidRPr="00C02F50">
        <w:rPr>
          <w:rFonts w:ascii="Calibri" w:eastAsia="Calibri" w:hAnsi="Calibri" w:cs="Times New Roman"/>
        </w:rPr>
        <w:t>Formularz wniosku należy wypełnić w języku polskim stanowiącym załącznik nr 1 do regulaminu konkursu i przesłać elektronicznie do dnia 30.07.2022 Godzina 23:59.</w:t>
      </w:r>
    </w:p>
    <w:p w14:paraId="1F539CD4" w14:textId="77777777" w:rsidR="00C02F50" w:rsidRPr="00C02F50" w:rsidRDefault="00C02F50" w:rsidP="00C02F50">
      <w:pPr>
        <w:numPr>
          <w:ilvl w:val="0"/>
          <w:numId w:val="17"/>
        </w:numPr>
        <w:contextualSpacing/>
        <w:jc w:val="both"/>
        <w:rPr>
          <w:rFonts w:ascii="Calibri" w:eastAsia="Calibri" w:hAnsi="Calibri" w:cs="Times New Roman"/>
        </w:rPr>
      </w:pPr>
      <w:r w:rsidRPr="00C02F50">
        <w:rPr>
          <w:rFonts w:ascii="Calibri" w:eastAsia="Calibri" w:hAnsi="Calibri" w:cs="Times New Roman"/>
        </w:rPr>
        <w:t xml:space="preserve">Datą i godziną złożenia Wniosku jest data i godzina otrzymania przez SWP wypełnionego Formularza, podpisanego i zeskanowanego w formacie PDF (maksymalnie: 10 MB) oraz przesłanego na adres: </w:t>
      </w:r>
      <w:hyperlink r:id="rId8" w:history="1">
        <w:r w:rsidRPr="00C02F50">
          <w:rPr>
            <w:rFonts w:ascii="Calibri" w:eastAsia="Calibri" w:hAnsi="Calibri" w:cs="Times New Roman"/>
            <w:color w:val="0563C1"/>
            <w:u w:val="single"/>
          </w:rPr>
          <w:t>wnioski@swp.org.pl</w:t>
        </w:r>
      </w:hyperlink>
      <w:r w:rsidRPr="00C02F50">
        <w:rPr>
          <w:rFonts w:ascii="Calibri" w:eastAsia="Calibri" w:hAnsi="Calibri" w:cs="Times New Roman"/>
        </w:rPr>
        <w:t xml:space="preserve"> </w:t>
      </w:r>
    </w:p>
    <w:p w14:paraId="65B44562" w14:textId="77777777" w:rsidR="00C02F50" w:rsidRPr="00C02F50" w:rsidRDefault="00C02F50" w:rsidP="00C02F50">
      <w:pPr>
        <w:numPr>
          <w:ilvl w:val="0"/>
          <w:numId w:val="17"/>
        </w:numPr>
        <w:contextualSpacing/>
        <w:jc w:val="both"/>
        <w:rPr>
          <w:rFonts w:ascii="Calibri" w:eastAsia="Calibri" w:hAnsi="Calibri" w:cs="Times New Roman"/>
        </w:rPr>
      </w:pPr>
      <w:r w:rsidRPr="00C02F50">
        <w:rPr>
          <w:rFonts w:ascii="Calibri" w:eastAsia="Calibri" w:hAnsi="Calibri" w:cs="Times New Roman"/>
        </w:rPr>
        <w:t xml:space="preserve">W ciągu 2 dni roboczych od daty otrzymania Wniosku Wnioskodawca otrzyma e-mailowe potwierdzenie otrzymania Wniosku przez SWP. Potwierdzenie odbioru Formularza wysłane z adresu </w:t>
      </w:r>
      <w:hyperlink r:id="rId9" w:history="1">
        <w:r w:rsidRPr="00C02F50">
          <w:rPr>
            <w:rFonts w:ascii="Calibri" w:eastAsia="Calibri" w:hAnsi="Calibri" w:cs="Times New Roman"/>
            <w:color w:val="0563C1"/>
            <w:u w:val="single"/>
          </w:rPr>
          <w:t>wnioski@swp.org.pl</w:t>
        </w:r>
      </w:hyperlink>
      <w:r w:rsidRPr="00C02F50">
        <w:rPr>
          <w:rFonts w:ascii="Calibri" w:eastAsia="Calibri" w:hAnsi="Calibri" w:cs="Times New Roman"/>
        </w:rPr>
        <w:t xml:space="preserve">  nie jest równoznaczne z oceną poprawności złożenia Wniosku ani jego oceną merytoryczną.</w:t>
      </w:r>
    </w:p>
    <w:p w14:paraId="4FD6AEAC" w14:textId="77777777" w:rsidR="00C02F50" w:rsidRPr="00C02F50" w:rsidRDefault="00C02F50" w:rsidP="00C02F50">
      <w:pPr>
        <w:numPr>
          <w:ilvl w:val="0"/>
          <w:numId w:val="17"/>
        </w:numPr>
        <w:contextualSpacing/>
        <w:jc w:val="both"/>
        <w:rPr>
          <w:rFonts w:ascii="Calibri" w:eastAsia="Calibri" w:hAnsi="Calibri" w:cs="Times New Roman"/>
        </w:rPr>
      </w:pPr>
      <w:r w:rsidRPr="00C02F50">
        <w:rPr>
          <w:rFonts w:ascii="Calibri" w:eastAsia="Calibri" w:hAnsi="Calibri" w:cs="Times New Roman"/>
        </w:rPr>
        <w:t>SWP nie wzywa Wnioskodawców do uzupełnienia Wniosku w przypadku braków formalnych. Wnioski niespełniające wymagań formalnych nie będą rozpatrywane.</w:t>
      </w:r>
    </w:p>
    <w:p w14:paraId="79F7CFCD" w14:textId="77777777" w:rsidR="00C02F50" w:rsidRPr="00C02F50" w:rsidRDefault="00C02F50" w:rsidP="00C02F50">
      <w:pPr>
        <w:jc w:val="both"/>
        <w:rPr>
          <w:rFonts w:ascii="Calibri" w:eastAsia="Calibri" w:hAnsi="Calibri" w:cs="Times New Roman"/>
        </w:rPr>
      </w:pPr>
    </w:p>
    <w:p w14:paraId="32EBEB14" w14:textId="77777777" w:rsidR="00C02F50" w:rsidRPr="00C02F50" w:rsidRDefault="00C02F50" w:rsidP="00C02F50">
      <w:pPr>
        <w:numPr>
          <w:ilvl w:val="0"/>
          <w:numId w:val="3"/>
        </w:numPr>
        <w:contextualSpacing/>
        <w:jc w:val="both"/>
        <w:rPr>
          <w:rFonts w:ascii="Calibri" w:eastAsia="Calibri" w:hAnsi="Calibri" w:cs="Times New Roman"/>
        </w:rPr>
      </w:pPr>
      <w:r w:rsidRPr="00C02F50">
        <w:rPr>
          <w:rFonts w:ascii="Calibri" w:eastAsia="Calibri" w:hAnsi="Calibri" w:cs="Times New Roman"/>
        </w:rPr>
        <w:t>Podstawowe warunki przygotowania ofert – techniczne kryteria dostępu</w:t>
      </w:r>
    </w:p>
    <w:p w14:paraId="1FA61EA2" w14:textId="77777777" w:rsidR="00C02F50" w:rsidRPr="00C02F50" w:rsidRDefault="00C02F50" w:rsidP="00C02F50">
      <w:pPr>
        <w:numPr>
          <w:ilvl w:val="0"/>
          <w:numId w:val="6"/>
        </w:numPr>
        <w:contextualSpacing/>
        <w:jc w:val="both"/>
        <w:rPr>
          <w:rFonts w:ascii="Calibri" w:eastAsia="Calibri" w:hAnsi="Calibri" w:cs="Times New Roman"/>
        </w:rPr>
      </w:pPr>
      <w:r w:rsidRPr="00C02F50">
        <w:rPr>
          <w:rFonts w:ascii="Calibri" w:eastAsia="Calibri" w:hAnsi="Calibri" w:cs="Times New Roman"/>
        </w:rPr>
        <w:t>Warunkiem złożenia i przyjęcia do rozpatrzenia Wniosku jest poprawne wypełnienie wszystkich przeznaczonych dla Wnioskodawcy pól Wzoru Oferty w języku polskim.</w:t>
      </w:r>
    </w:p>
    <w:p w14:paraId="42F1E174" w14:textId="77777777" w:rsidR="00C02F50" w:rsidRPr="00C02F50" w:rsidRDefault="00C02F50" w:rsidP="00C02F50">
      <w:pPr>
        <w:numPr>
          <w:ilvl w:val="0"/>
          <w:numId w:val="6"/>
        </w:numPr>
        <w:contextualSpacing/>
        <w:jc w:val="both"/>
        <w:rPr>
          <w:rFonts w:ascii="Calibri" w:eastAsia="Calibri" w:hAnsi="Calibri" w:cs="Times New Roman"/>
        </w:rPr>
      </w:pPr>
      <w:r w:rsidRPr="00C02F50">
        <w:rPr>
          <w:rFonts w:ascii="Calibri" w:eastAsia="Calibri" w:hAnsi="Calibri" w:cs="Times New Roman"/>
        </w:rPr>
        <w:t>Każda oferta złożona w konkursie musi spełnić kryteria formalne. Ocena formalna dotyczy weryfikacji:</w:t>
      </w:r>
    </w:p>
    <w:p w14:paraId="5462E63F" w14:textId="77777777" w:rsidR="00C02F50" w:rsidRPr="00C02F50" w:rsidRDefault="00C02F50" w:rsidP="00C02F50">
      <w:pPr>
        <w:numPr>
          <w:ilvl w:val="0"/>
          <w:numId w:val="8"/>
        </w:numPr>
        <w:contextualSpacing/>
        <w:jc w:val="both"/>
        <w:rPr>
          <w:rFonts w:ascii="Calibri" w:eastAsia="Calibri" w:hAnsi="Calibri" w:cs="Times New Roman"/>
        </w:rPr>
      </w:pPr>
      <w:r w:rsidRPr="00C02F50">
        <w:rPr>
          <w:rFonts w:ascii="Calibri" w:eastAsia="Calibri" w:hAnsi="Calibri" w:cs="Times New Roman"/>
        </w:rPr>
        <w:t>Zgodności terminu złożenia oferty,</w:t>
      </w:r>
    </w:p>
    <w:p w14:paraId="7127E72F" w14:textId="77777777" w:rsidR="00C02F50" w:rsidRPr="00C02F50" w:rsidRDefault="00C02F50" w:rsidP="00C02F50">
      <w:pPr>
        <w:numPr>
          <w:ilvl w:val="0"/>
          <w:numId w:val="8"/>
        </w:numPr>
        <w:contextualSpacing/>
        <w:jc w:val="both"/>
        <w:rPr>
          <w:rFonts w:ascii="Calibri" w:eastAsia="Calibri" w:hAnsi="Calibri" w:cs="Times New Roman"/>
        </w:rPr>
      </w:pPr>
      <w:r w:rsidRPr="00C02F50">
        <w:rPr>
          <w:rFonts w:ascii="Calibri" w:eastAsia="Calibri" w:hAnsi="Calibri" w:cs="Times New Roman"/>
        </w:rPr>
        <w:t>Sposobu złożenia oferty,</w:t>
      </w:r>
    </w:p>
    <w:p w14:paraId="22DCF049" w14:textId="77777777" w:rsidR="00C02F50" w:rsidRPr="00C02F50" w:rsidRDefault="00C02F50" w:rsidP="00C02F50">
      <w:pPr>
        <w:numPr>
          <w:ilvl w:val="0"/>
          <w:numId w:val="8"/>
        </w:numPr>
        <w:contextualSpacing/>
        <w:jc w:val="both"/>
        <w:rPr>
          <w:rFonts w:ascii="Calibri" w:eastAsia="Calibri" w:hAnsi="Calibri" w:cs="Times New Roman"/>
        </w:rPr>
      </w:pPr>
      <w:r w:rsidRPr="00C02F50">
        <w:rPr>
          <w:rFonts w:ascii="Calibri" w:eastAsia="Calibri" w:hAnsi="Calibri" w:cs="Times New Roman"/>
        </w:rPr>
        <w:t>Statusu podmiotu uprawnionego o ubieganie się o dotację (weryfikacja na podstawie załączników),</w:t>
      </w:r>
    </w:p>
    <w:p w14:paraId="10FADDE4" w14:textId="77777777" w:rsidR="00C02F50" w:rsidRPr="00C02F50" w:rsidRDefault="00C02F50" w:rsidP="00C02F50">
      <w:pPr>
        <w:numPr>
          <w:ilvl w:val="0"/>
          <w:numId w:val="8"/>
        </w:numPr>
        <w:contextualSpacing/>
        <w:jc w:val="both"/>
        <w:rPr>
          <w:rFonts w:ascii="Calibri" w:eastAsia="Calibri" w:hAnsi="Calibri" w:cs="Times New Roman"/>
        </w:rPr>
      </w:pPr>
      <w:r w:rsidRPr="00C02F50">
        <w:rPr>
          <w:rFonts w:ascii="Calibri" w:eastAsia="Calibri" w:hAnsi="Calibri" w:cs="Times New Roman"/>
        </w:rPr>
        <w:t>Zgodności zadania z celami konkursu,</w:t>
      </w:r>
    </w:p>
    <w:p w14:paraId="031F1E3E" w14:textId="77777777" w:rsidR="00C02F50" w:rsidRPr="00C02F50" w:rsidRDefault="00C02F50" w:rsidP="00C02F50">
      <w:pPr>
        <w:numPr>
          <w:ilvl w:val="0"/>
          <w:numId w:val="8"/>
        </w:numPr>
        <w:contextualSpacing/>
        <w:jc w:val="both"/>
        <w:rPr>
          <w:rFonts w:ascii="Calibri" w:eastAsia="Calibri" w:hAnsi="Calibri" w:cs="Times New Roman"/>
        </w:rPr>
      </w:pPr>
      <w:r w:rsidRPr="00C02F50">
        <w:rPr>
          <w:rFonts w:ascii="Calibri" w:eastAsia="Calibri" w:hAnsi="Calibri" w:cs="Times New Roman"/>
        </w:rPr>
        <w:t>Zgodności zadania z miejscem jego realizacji,</w:t>
      </w:r>
    </w:p>
    <w:p w14:paraId="5BD7DCA8" w14:textId="77777777" w:rsidR="00C02F50" w:rsidRPr="00C02F50" w:rsidRDefault="00C02F50" w:rsidP="00C02F50">
      <w:pPr>
        <w:numPr>
          <w:ilvl w:val="0"/>
          <w:numId w:val="8"/>
        </w:numPr>
        <w:contextualSpacing/>
        <w:jc w:val="both"/>
        <w:rPr>
          <w:rFonts w:ascii="Calibri" w:eastAsia="Calibri" w:hAnsi="Calibri" w:cs="Times New Roman"/>
        </w:rPr>
      </w:pPr>
      <w:r w:rsidRPr="00C02F50">
        <w:rPr>
          <w:rFonts w:ascii="Calibri" w:eastAsia="Calibri" w:hAnsi="Calibri" w:cs="Times New Roman"/>
        </w:rPr>
        <w:t>Zgodności z grupą docelową,</w:t>
      </w:r>
    </w:p>
    <w:p w14:paraId="0338F25A" w14:textId="77777777" w:rsidR="00C02F50" w:rsidRPr="00C02F50" w:rsidRDefault="00C02F50" w:rsidP="00C02F50">
      <w:pPr>
        <w:numPr>
          <w:ilvl w:val="0"/>
          <w:numId w:val="8"/>
        </w:numPr>
        <w:contextualSpacing/>
        <w:jc w:val="both"/>
        <w:rPr>
          <w:rFonts w:ascii="Calibri" w:eastAsia="Calibri" w:hAnsi="Calibri" w:cs="Times New Roman"/>
        </w:rPr>
      </w:pPr>
      <w:r w:rsidRPr="00C02F50">
        <w:rPr>
          <w:rFonts w:ascii="Calibri" w:eastAsia="Calibri" w:hAnsi="Calibri" w:cs="Times New Roman"/>
        </w:rPr>
        <w:t>Czy kwota deklarowanego wkładu własnego nie jest niższa niż 5% całkowitej wartości zadania,</w:t>
      </w:r>
    </w:p>
    <w:p w14:paraId="3AB61E98" w14:textId="77777777" w:rsidR="00C02F50" w:rsidRPr="00C02F50" w:rsidRDefault="00C02F50" w:rsidP="00C02F50">
      <w:pPr>
        <w:numPr>
          <w:ilvl w:val="0"/>
          <w:numId w:val="8"/>
        </w:numPr>
        <w:contextualSpacing/>
        <w:jc w:val="both"/>
        <w:rPr>
          <w:rFonts w:ascii="Calibri" w:eastAsia="Calibri" w:hAnsi="Calibri" w:cs="Times New Roman"/>
        </w:rPr>
      </w:pPr>
      <w:r w:rsidRPr="00C02F50">
        <w:rPr>
          <w:rFonts w:ascii="Calibri" w:eastAsia="Calibri" w:hAnsi="Calibri" w:cs="Times New Roman"/>
        </w:rPr>
        <w:t>poprawność podpisania oferty zgodnie z zasadami reprezentacji lub przez trzech przedstawicieli grupy nieformalnej,</w:t>
      </w:r>
    </w:p>
    <w:p w14:paraId="77C07406" w14:textId="77777777" w:rsidR="00C02F50" w:rsidRPr="00C02F50" w:rsidRDefault="00C02F50" w:rsidP="00C02F50">
      <w:pPr>
        <w:numPr>
          <w:ilvl w:val="0"/>
          <w:numId w:val="8"/>
        </w:numPr>
        <w:contextualSpacing/>
        <w:jc w:val="both"/>
        <w:rPr>
          <w:rFonts w:ascii="Calibri" w:eastAsia="Calibri" w:hAnsi="Calibri" w:cs="Times New Roman"/>
        </w:rPr>
      </w:pPr>
      <w:r w:rsidRPr="00C02F50">
        <w:rPr>
          <w:rFonts w:ascii="Calibri" w:eastAsia="Calibri" w:hAnsi="Calibri" w:cs="Times New Roman"/>
        </w:rPr>
        <w:t>Wysokość wnioskowanej kwoty dofinansowania dla grupy formalnej to 9 000 złotych (słownie: dziewięć tysięcy złotych), grupy nieformalnej to 4 000 zł ( słownie: cztery tysięcy złotych).</w:t>
      </w:r>
    </w:p>
    <w:p w14:paraId="2D3013F9" w14:textId="77777777" w:rsidR="00C02F50" w:rsidRPr="00C02F50" w:rsidRDefault="00C02F50" w:rsidP="00C02F50">
      <w:pPr>
        <w:numPr>
          <w:ilvl w:val="0"/>
          <w:numId w:val="6"/>
        </w:numPr>
        <w:contextualSpacing/>
        <w:rPr>
          <w:rFonts w:ascii="Calibri" w:eastAsia="Calibri" w:hAnsi="Calibri" w:cs="Times New Roman"/>
        </w:rPr>
      </w:pPr>
      <w:r w:rsidRPr="00C02F50">
        <w:rPr>
          <w:rFonts w:ascii="Calibri" w:eastAsia="Calibri" w:hAnsi="Calibri" w:cs="Times New Roman"/>
        </w:rPr>
        <w:t xml:space="preserve">Koszty kwalifikowalne mogą obejmować w szczególności: </w:t>
      </w:r>
    </w:p>
    <w:p w14:paraId="287B12CC" w14:textId="77777777" w:rsidR="00C02F50" w:rsidRPr="00C02F50" w:rsidRDefault="00C02F50" w:rsidP="00C02F50">
      <w:pPr>
        <w:numPr>
          <w:ilvl w:val="0"/>
          <w:numId w:val="19"/>
        </w:numPr>
        <w:contextualSpacing/>
        <w:rPr>
          <w:rFonts w:ascii="Calibri" w:eastAsia="Calibri" w:hAnsi="Calibri" w:cs="Times New Roman"/>
        </w:rPr>
      </w:pPr>
      <w:r w:rsidRPr="00C02F50">
        <w:rPr>
          <w:rFonts w:ascii="Calibri" w:eastAsia="Calibri" w:hAnsi="Calibri" w:cs="Times New Roman"/>
        </w:rPr>
        <w:t xml:space="preserve">koszty wyżywienia i zakwaterowania, </w:t>
      </w:r>
    </w:p>
    <w:p w14:paraId="148CDFB3" w14:textId="77777777" w:rsidR="00C02F50" w:rsidRPr="00C02F50" w:rsidRDefault="00C02F50" w:rsidP="00C02F50">
      <w:pPr>
        <w:numPr>
          <w:ilvl w:val="0"/>
          <w:numId w:val="19"/>
        </w:numPr>
        <w:contextualSpacing/>
        <w:rPr>
          <w:rFonts w:ascii="Calibri" w:eastAsia="Calibri" w:hAnsi="Calibri" w:cs="Times New Roman"/>
        </w:rPr>
      </w:pPr>
      <w:r w:rsidRPr="00C02F50">
        <w:rPr>
          <w:rFonts w:ascii="Calibri" w:eastAsia="Calibri" w:hAnsi="Calibri" w:cs="Times New Roman"/>
        </w:rPr>
        <w:lastRenderedPageBreak/>
        <w:t>koszty zakupu usług wynikające ze specyfiki działań podejmowanych w ramach projektu,</w:t>
      </w:r>
    </w:p>
    <w:p w14:paraId="7B6E835B" w14:textId="77777777" w:rsidR="00C02F50" w:rsidRPr="00C02F50" w:rsidRDefault="00C02F50" w:rsidP="00C02F50">
      <w:pPr>
        <w:numPr>
          <w:ilvl w:val="0"/>
          <w:numId w:val="19"/>
        </w:numPr>
        <w:contextualSpacing/>
        <w:rPr>
          <w:rFonts w:ascii="Calibri" w:eastAsia="Calibri" w:hAnsi="Calibri" w:cs="Times New Roman"/>
        </w:rPr>
      </w:pPr>
      <w:r w:rsidRPr="00C02F50">
        <w:rPr>
          <w:rFonts w:ascii="Calibri" w:eastAsia="Calibri" w:hAnsi="Calibri" w:cs="Times New Roman"/>
        </w:rPr>
        <w:t xml:space="preserve">koszty materiałów szkoleniowych, drukarskich, </w:t>
      </w:r>
    </w:p>
    <w:p w14:paraId="59B23623" w14:textId="77777777" w:rsidR="00C02F50" w:rsidRPr="00C02F50" w:rsidRDefault="00C02F50" w:rsidP="00C02F50">
      <w:pPr>
        <w:numPr>
          <w:ilvl w:val="0"/>
          <w:numId w:val="19"/>
        </w:numPr>
        <w:contextualSpacing/>
        <w:rPr>
          <w:rFonts w:ascii="Calibri" w:eastAsia="Calibri" w:hAnsi="Calibri" w:cs="Times New Roman"/>
        </w:rPr>
      </w:pPr>
      <w:r w:rsidRPr="00C02F50">
        <w:rPr>
          <w:rFonts w:ascii="Calibri" w:eastAsia="Calibri" w:hAnsi="Calibri" w:cs="Times New Roman"/>
        </w:rPr>
        <w:t>koszty podróży/transportu, w tym wydatki na zakup biletów, koszty wynajmu środka transportu, koszty paliwa, opłaty parkingowe, ubezpieczenie, cło, opłaty wizowe,</w:t>
      </w:r>
    </w:p>
    <w:p w14:paraId="24D3D520" w14:textId="77777777" w:rsidR="00C02F50" w:rsidRPr="00C02F50" w:rsidRDefault="00C02F50" w:rsidP="00C02F50">
      <w:pPr>
        <w:numPr>
          <w:ilvl w:val="0"/>
          <w:numId w:val="19"/>
        </w:numPr>
        <w:contextualSpacing/>
        <w:rPr>
          <w:rFonts w:ascii="Calibri" w:eastAsia="Calibri" w:hAnsi="Calibri" w:cs="Times New Roman"/>
        </w:rPr>
      </w:pPr>
      <w:r w:rsidRPr="00C02F50">
        <w:rPr>
          <w:rFonts w:ascii="Calibri" w:eastAsia="Calibri" w:hAnsi="Calibri" w:cs="Times New Roman"/>
        </w:rPr>
        <w:t xml:space="preserve">koszty promocji projektu, </w:t>
      </w:r>
    </w:p>
    <w:p w14:paraId="6DA4027E" w14:textId="77777777" w:rsidR="00C02F50" w:rsidRPr="00C02F50" w:rsidRDefault="00C02F50" w:rsidP="00C02F50">
      <w:pPr>
        <w:numPr>
          <w:ilvl w:val="0"/>
          <w:numId w:val="19"/>
        </w:numPr>
        <w:contextualSpacing/>
        <w:rPr>
          <w:rFonts w:ascii="Calibri" w:eastAsia="Calibri" w:hAnsi="Calibri" w:cs="Times New Roman"/>
        </w:rPr>
      </w:pPr>
      <w:r w:rsidRPr="00C02F50">
        <w:rPr>
          <w:rFonts w:ascii="Calibri" w:eastAsia="Calibri" w:hAnsi="Calibri" w:cs="Times New Roman"/>
        </w:rPr>
        <w:t>koszty wynikające ze specyfiki działań podejmowanych w ramach projektu, w tym wydatki poniesione na zakup niezbędnych towarów, koszty wynajmu pomieszczeń i sprzętu,</w:t>
      </w:r>
    </w:p>
    <w:p w14:paraId="48007BC2" w14:textId="77777777" w:rsidR="00C02F50" w:rsidRPr="00C02F50" w:rsidRDefault="00C02F50" w:rsidP="00C02F50">
      <w:pPr>
        <w:numPr>
          <w:ilvl w:val="0"/>
          <w:numId w:val="19"/>
        </w:numPr>
        <w:contextualSpacing/>
        <w:rPr>
          <w:rFonts w:ascii="Calibri" w:eastAsia="Calibri" w:hAnsi="Calibri" w:cs="Times New Roman"/>
        </w:rPr>
      </w:pPr>
      <w:r w:rsidRPr="00C02F50">
        <w:rPr>
          <w:rFonts w:ascii="Calibri" w:eastAsia="Calibri" w:hAnsi="Calibri" w:cs="Times New Roman"/>
        </w:rPr>
        <w:t>koszty osobowe - wynagrodzenia osób merytorycznie zaangażowanych w realizację projektu,</w:t>
      </w:r>
    </w:p>
    <w:p w14:paraId="55988F2D" w14:textId="77777777" w:rsidR="00C02F50" w:rsidRPr="00C02F50" w:rsidRDefault="00C02F50" w:rsidP="00C02F50">
      <w:pPr>
        <w:numPr>
          <w:ilvl w:val="0"/>
          <w:numId w:val="19"/>
        </w:numPr>
        <w:contextualSpacing/>
        <w:rPr>
          <w:rFonts w:ascii="Calibri" w:eastAsia="Calibri" w:hAnsi="Calibri" w:cs="Times New Roman"/>
        </w:rPr>
      </w:pPr>
      <w:r w:rsidRPr="00C02F50">
        <w:rPr>
          <w:rFonts w:ascii="Calibri" w:eastAsia="Calibri" w:hAnsi="Calibri" w:cs="Times New Roman"/>
        </w:rPr>
        <w:t>wynagrodzenie koordynatora projektu oraz innych pracowników administracyjnych,</w:t>
      </w:r>
    </w:p>
    <w:p w14:paraId="58B9990C" w14:textId="77777777" w:rsidR="00C02F50" w:rsidRPr="00C02F50" w:rsidRDefault="00C02F50" w:rsidP="00C02F50">
      <w:pPr>
        <w:numPr>
          <w:ilvl w:val="0"/>
          <w:numId w:val="19"/>
        </w:numPr>
        <w:contextualSpacing/>
        <w:rPr>
          <w:rFonts w:ascii="Calibri" w:eastAsia="Calibri" w:hAnsi="Calibri" w:cs="Times New Roman"/>
        </w:rPr>
      </w:pPr>
      <w:r w:rsidRPr="00C02F50">
        <w:rPr>
          <w:rFonts w:ascii="Calibri" w:eastAsia="Calibri" w:hAnsi="Calibri" w:cs="Times New Roman"/>
        </w:rPr>
        <w:t xml:space="preserve">usługi księgowe i/lub usługi prawne, </w:t>
      </w:r>
    </w:p>
    <w:p w14:paraId="63314A2F" w14:textId="77777777" w:rsidR="00C02F50" w:rsidRPr="00C02F50" w:rsidRDefault="00C02F50" w:rsidP="00C02F50">
      <w:pPr>
        <w:numPr>
          <w:ilvl w:val="0"/>
          <w:numId w:val="19"/>
        </w:numPr>
        <w:contextualSpacing/>
        <w:rPr>
          <w:rFonts w:ascii="Calibri" w:eastAsia="Calibri" w:hAnsi="Calibri" w:cs="Times New Roman"/>
        </w:rPr>
      </w:pPr>
      <w:r w:rsidRPr="00C02F50">
        <w:rPr>
          <w:rFonts w:ascii="Calibri" w:eastAsia="Calibri" w:hAnsi="Calibri" w:cs="Times New Roman"/>
        </w:rPr>
        <w:t>koszty bankowe.</w:t>
      </w:r>
    </w:p>
    <w:p w14:paraId="74F7CB55" w14:textId="77777777" w:rsidR="00C02F50" w:rsidRPr="00C02F50" w:rsidRDefault="00C02F50" w:rsidP="00C02F50">
      <w:pPr>
        <w:numPr>
          <w:ilvl w:val="0"/>
          <w:numId w:val="6"/>
        </w:numPr>
        <w:contextualSpacing/>
        <w:jc w:val="both"/>
        <w:rPr>
          <w:rFonts w:ascii="Calibri" w:eastAsia="Calibri" w:hAnsi="Calibri" w:cs="Times New Roman"/>
        </w:rPr>
      </w:pPr>
      <w:r w:rsidRPr="00C02F50">
        <w:rPr>
          <w:rFonts w:ascii="Calibri" w:eastAsia="Calibri" w:hAnsi="Calibri" w:cs="Times New Roman"/>
        </w:rPr>
        <w:t xml:space="preserve">Za koszty niekwalifikowane uważa się w szczególności: </w:t>
      </w:r>
    </w:p>
    <w:p w14:paraId="6140690C" w14:textId="77777777" w:rsidR="00C02F50" w:rsidRPr="00C02F50" w:rsidRDefault="00C02F50" w:rsidP="00C02F50">
      <w:pPr>
        <w:numPr>
          <w:ilvl w:val="0"/>
          <w:numId w:val="20"/>
        </w:numPr>
        <w:contextualSpacing/>
        <w:jc w:val="both"/>
        <w:rPr>
          <w:rFonts w:ascii="Calibri" w:eastAsia="Calibri" w:hAnsi="Calibri" w:cs="Times New Roman"/>
        </w:rPr>
      </w:pPr>
      <w:r w:rsidRPr="00C02F50">
        <w:rPr>
          <w:rFonts w:ascii="Calibri" w:eastAsia="Calibri" w:hAnsi="Calibri" w:cs="Times New Roman"/>
        </w:rPr>
        <w:t>zwrot z kapitału,</w:t>
      </w:r>
    </w:p>
    <w:p w14:paraId="7F0AE439" w14:textId="77777777" w:rsidR="00C02F50" w:rsidRPr="00C02F50" w:rsidRDefault="00C02F50" w:rsidP="00C02F50">
      <w:pPr>
        <w:numPr>
          <w:ilvl w:val="0"/>
          <w:numId w:val="20"/>
        </w:numPr>
        <w:contextualSpacing/>
        <w:jc w:val="both"/>
        <w:rPr>
          <w:rFonts w:ascii="Calibri" w:eastAsia="Calibri" w:hAnsi="Calibri" w:cs="Times New Roman"/>
        </w:rPr>
      </w:pPr>
      <w:r w:rsidRPr="00C02F50">
        <w:rPr>
          <w:rFonts w:ascii="Calibri" w:eastAsia="Calibri" w:hAnsi="Calibri" w:cs="Times New Roman"/>
        </w:rPr>
        <w:t>koszt wynajmu biura,</w:t>
      </w:r>
    </w:p>
    <w:p w14:paraId="5FE24A01" w14:textId="77777777" w:rsidR="00C02F50" w:rsidRPr="00C02F50" w:rsidRDefault="00C02F50" w:rsidP="00C02F50">
      <w:pPr>
        <w:numPr>
          <w:ilvl w:val="0"/>
          <w:numId w:val="20"/>
        </w:numPr>
        <w:contextualSpacing/>
        <w:jc w:val="both"/>
        <w:rPr>
          <w:rFonts w:ascii="Calibri" w:eastAsia="Calibri" w:hAnsi="Calibri" w:cs="Times New Roman"/>
        </w:rPr>
      </w:pPr>
      <w:r w:rsidRPr="00C02F50">
        <w:rPr>
          <w:rFonts w:ascii="Calibri" w:eastAsia="Calibri" w:hAnsi="Calibri" w:cs="Times New Roman"/>
        </w:rPr>
        <w:t>zadłużenie i koszt obsługi zadłużenia;</w:t>
      </w:r>
    </w:p>
    <w:p w14:paraId="073DE667" w14:textId="77777777" w:rsidR="00C02F50" w:rsidRPr="00C02F50" w:rsidRDefault="00C02F50" w:rsidP="00C02F50">
      <w:pPr>
        <w:numPr>
          <w:ilvl w:val="0"/>
          <w:numId w:val="20"/>
        </w:numPr>
        <w:contextualSpacing/>
        <w:jc w:val="both"/>
        <w:rPr>
          <w:rFonts w:ascii="Calibri" w:eastAsia="Calibri" w:hAnsi="Calibri" w:cs="Times New Roman"/>
        </w:rPr>
      </w:pPr>
      <w:r w:rsidRPr="00C02F50">
        <w:rPr>
          <w:rFonts w:ascii="Calibri" w:eastAsia="Calibri" w:hAnsi="Calibri" w:cs="Times New Roman"/>
        </w:rPr>
        <w:t>rezerwy na straty i ewentualne przyszłe zobowiązania;</w:t>
      </w:r>
    </w:p>
    <w:p w14:paraId="6CBCAF51" w14:textId="77777777" w:rsidR="00C02F50" w:rsidRPr="00C02F50" w:rsidRDefault="00C02F50" w:rsidP="00C02F50">
      <w:pPr>
        <w:numPr>
          <w:ilvl w:val="0"/>
          <w:numId w:val="20"/>
        </w:numPr>
        <w:contextualSpacing/>
        <w:jc w:val="both"/>
        <w:rPr>
          <w:rFonts w:ascii="Calibri" w:eastAsia="Calibri" w:hAnsi="Calibri" w:cs="Times New Roman"/>
        </w:rPr>
      </w:pPr>
      <w:r w:rsidRPr="00C02F50">
        <w:rPr>
          <w:rFonts w:ascii="Calibri" w:eastAsia="Calibri" w:hAnsi="Calibri" w:cs="Times New Roman"/>
        </w:rPr>
        <w:t>odsetki od zadłużenia;</w:t>
      </w:r>
    </w:p>
    <w:p w14:paraId="1D9EB595" w14:textId="77777777" w:rsidR="00C02F50" w:rsidRPr="00C02F50" w:rsidRDefault="00C02F50" w:rsidP="00C02F50">
      <w:pPr>
        <w:numPr>
          <w:ilvl w:val="0"/>
          <w:numId w:val="20"/>
        </w:numPr>
        <w:contextualSpacing/>
        <w:jc w:val="both"/>
        <w:rPr>
          <w:rFonts w:ascii="Calibri" w:eastAsia="Calibri" w:hAnsi="Calibri" w:cs="Times New Roman"/>
        </w:rPr>
      </w:pPr>
      <w:r w:rsidRPr="00C02F50">
        <w:rPr>
          <w:rFonts w:ascii="Calibri" w:eastAsia="Calibri" w:hAnsi="Calibri" w:cs="Times New Roman"/>
        </w:rPr>
        <w:t xml:space="preserve">straty związane z wymianą walut; </w:t>
      </w:r>
    </w:p>
    <w:p w14:paraId="6CA8D20B" w14:textId="77777777" w:rsidR="00C02F50" w:rsidRPr="00C02F50" w:rsidRDefault="00C02F50" w:rsidP="00C02F50">
      <w:pPr>
        <w:numPr>
          <w:ilvl w:val="0"/>
          <w:numId w:val="20"/>
        </w:numPr>
        <w:contextualSpacing/>
        <w:jc w:val="both"/>
        <w:rPr>
          <w:rFonts w:ascii="Calibri" w:eastAsia="Calibri" w:hAnsi="Calibri" w:cs="Times New Roman"/>
        </w:rPr>
      </w:pPr>
      <w:r w:rsidRPr="00C02F50">
        <w:rPr>
          <w:rFonts w:ascii="Calibri" w:eastAsia="Calibri" w:hAnsi="Calibri" w:cs="Times New Roman"/>
        </w:rPr>
        <w:t>zakup środków trwałych w rozumieniu art. 3 ust. 1 pkt 15 ustawy z dnia 29 września 1994 r. o rachunkowości (Dz. U. z 2013 r. poz. 330 i 613) na rzecz Zleceniobiorcy, chyba że jest uzasadniony;</w:t>
      </w:r>
    </w:p>
    <w:p w14:paraId="238EE3B0" w14:textId="77777777" w:rsidR="00C02F50" w:rsidRPr="00C02F50" w:rsidRDefault="00C02F50" w:rsidP="00C02F50">
      <w:pPr>
        <w:numPr>
          <w:ilvl w:val="0"/>
          <w:numId w:val="20"/>
        </w:numPr>
        <w:contextualSpacing/>
        <w:jc w:val="both"/>
        <w:rPr>
          <w:rFonts w:ascii="Calibri" w:eastAsia="Calibri" w:hAnsi="Calibri" w:cs="Times New Roman"/>
        </w:rPr>
      </w:pPr>
      <w:r w:rsidRPr="00C02F50">
        <w:rPr>
          <w:rFonts w:ascii="Calibri" w:eastAsia="Calibri" w:hAnsi="Calibri" w:cs="Times New Roman"/>
        </w:rPr>
        <w:t>koszty amortyzacji środków trwałych lub wartości niematerialnych i prawnych;</w:t>
      </w:r>
    </w:p>
    <w:p w14:paraId="3BC19BCC" w14:textId="77777777" w:rsidR="00C02F50" w:rsidRPr="00C02F50" w:rsidRDefault="00C02F50" w:rsidP="00C02F50">
      <w:pPr>
        <w:numPr>
          <w:ilvl w:val="0"/>
          <w:numId w:val="20"/>
        </w:numPr>
        <w:contextualSpacing/>
        <w:jc w:val="both"/>
        <w:rPr>
          <w:rFonts w:ascii="Calibri" w:eastAsia="Calibri" w:hAnsi="Calibri" w:cs="Times New Roman"/>
        </w:rPr>
      </w:pPr>
      <w:r w:rsidRPr="00C02F50">
        <w:rPr>
          <w:rFonts w:ascii="Calibri" w:eastAsia="Calibri" w:hAnsi="Calibri" w:cs="Times New Roman"/>
        </w:rPr>
        <w:t>koszty leczenia indywidualnych osób bądź pracowników Zleceniobiorcy;</w:t>
      </w:r>
    </w:p>
    <w:p w14:paraId="0D82B82E" w14:textId="77777777" w:rsidR="00C02F50" w:rsidRPr="00C02F50" w:rsidRDefault="00C02F50" w:rsidP="00C02F50">
      <w:pPr>
        <w:numPr>
          <w:ilvl w:val="0"/>
          <w:numId w:val="20"/>
        </w:numPr>
        <w:contextualSpacing/>
        <w:jc w:val="both"/>
        <w:rPr>
          <w:rFonts w:ascii="Calibri" w:eastAsia="Calibri" w:hAnsi="Calibri" w:cs="Times New Roman"/>
        </w:rPr>
      </w:pPr>
      <w:r w:rsidRPr="00C02F50">
        <w:rPr>
          <w:rFonts w:ascii="Calibri" w:eastAsia="Calibri" w:hAnsi="Calibri" w:cs="Times New Roman"/>
        </w:rPr>
        <w:t>koszty zakupu napojów alkoholowych;</w:t>
      </w:r>
    </w:p>
    <w:p w14:paraId="6AE072BB" w14:textId="77777777" w:rsidR="00C02F50" w:rsidRPr="00C02F50" w:rsidRDefault="00C02F50" w:rsidP="00C02F50">
      <w:pPr>
        <w:numPr>
          <w:ilvl w:val="0"/>
          <w:numId w:val="20"/>
        </w:numPr>
        <w:contextualSpacing/>
        <w:jc w:val="both"/>
        <w:rPr>
          <w:rFonts w:ascii="Calibri" w:eastAsia="Calibri" w:hAnsi="Calibri" w:cs="Times New Roman"/>
        </w:rPr>
      </w:pPr>
      <w:r w:rsidRPr="00C02F50">
        <w:rPr>
          <w:rFonts w:ascii="Calibri" w:eastAsia="Calibri" w:hAnsi="Calibri" w:cs="Times New Roman"/>
        </w:rPr>
        <w:t>VAT, z wyjątkiem przypadków gdy Zleceniobiorca nie jest w stanie go odzyskać, zgodnie z właściwym ustawodawstwem krajowym lub nie korzysta z możliwości jego odzyskania.</w:t>
      </w:r>
    </w:p>
    <w:p w14:paraId="3F9E6EB6" w14:textId="77777777" w:rsidR="00C02F50" w:rsidRPr="00C02F50" w:rsidRDefault="00C02F50" w:rsidP="00C02F50">
      <w:pPr>
        <w:numPr>
          <w:ilvl w:val="0"/>
          <w:numId w:val="6"/>
        </w:numPr>
        <w:contextualSpacing/>
        <w:jc w:val="both"/>
        <w:rPr>
          <w:rFonts w:ascii="Calibri" w:eastAsia="Calibri" w:hAnsi="Calibri" w:cs="Times New Roman"/>
        </w:rPr>
      </w:pPr>
      <w:r w:rsidRPr="00C02F50">
        <w:rPr>
          <w:rFonts w:ascii="Calibri" w:eastAsia="Calibri" w:hAnsi="Calibri" w:cs="Times New Roman"/>
        </w:rPr>
        <w:t>Po dokonaniu oceny formalnej publikowana jest lista wyników oceny formalnej.</w:t>
      </w:r>
    </w:p>
    <w:p w14:paraId="3C0A22D8" w14:textId="77777777" w:rsidR="00C02F50" w:rsidRPr="00C02F50" w:rsidRDefault="00C02F50" w:rsidP="00C02F50">
      <w:pPr>
        <w:numPr>
          <w:ilvl w:val="0"/>
          <w:numId w:val="6"/>
        </w:numPr>
        <w:contextualSpacing/>
        <w:jc w:val="both"/>
        <w:rPr>
          <w:rFonts w:ascii="Calibri" w:eastAsia="Calibri" w:hAnsi="Calibri" w:cs="Times New Roman"/>
        </w:rPr>
      </w:pPr>
      <w:r w:rsidRPr="00C02F50">
        <w:rPr>
          <w:rFonts w:ascii="Calibri" w:eastAsia="Calibri" w:hAnsi="Calibri" w:cs="Times New Roman"/>
        </w:rPr>
        <w:t>Wnioski, które pozytywnie przeszły ocenę formalną, przekazywane są do oceny merytorycznej dokonywanej przez Komisję Konkursową. Komisja składa się z 2 niezależnych ekspertów i Przewodniczącego Komisji. Każdy wniosek jest oceniany przez 2 ekspertów.</w:t>
      </w:r>
    </w:p>
    <w:p w14:paraId="6BE7936E" w14:textId="77777777" w:rsidR="00C02F50" w:rsidRPr="00C02F50" w:rsidRDefault="00C02F50" w:rsidP="00C02F50">
      <w:pPr>
        <w:ind w:left="720"/>
        <w:contextualSpacing/>
        <w:jc w:val="both"/>
        <w:rPr>
          <w:rFonts w:ascii="Calibri" w:eastAsia="Calibri" w:hAnsi="Calibri" w:cs="Times New Roman"/>
        </w:rPr>
      </w:pPr>
    </w:p>
    <w:p w14:paraId="2E0FD06F" w14:textId="77777777" w:rsidR="00C02F50" w:rsidRPr="00C02F50" w:rsidRDefault="00C02F50" w:rsidP="00C02F50">
      <w:pPr>
        <w:numPr>
          <w:ilvl w:val="0"/>
          <w:numId w:val="3"/>
        </w:numPr>
        <w:contextualSpacing/>
        <w:jc w:val="both"/>
        <w:rPr>
          <w:rFonts w:ascii="Calibri" w:eastAsia="Calibri" w:hAnsi="Calibri" w:cs="Times New Roman"/>
        </w:rPr>
      </w:pPr>
      <w:r w:rsidRPr="00C02F50">
        <w:rPr>
          <w:rFonts w:ascii="Calibri" w:eastAsia="Calibri" w:hAnsi="Calibri" w:cs="Times New Roman"/>
        </w:rPr>
        <w:t>Procedura oceny ofert i przyznawania grantu</w:t>
      </w:r>
    </w:p>
    <w:p w14:paraId="2FBBF456" w14:textId="77777777" w:rsidR="00C02F50" w:rsidRPr="00C02F50" w:rsidRDefault="00C02F50" w:rsidP="00C02F50">
      <w:pPr>
        <w:numPr>
          <w:ilvl w:val="0"/>
          <w:numId w:val="7"/>
        </w:numPr>
        <w:contextualSpacing/>
        <w:jc w:val="both"/>
        <w:rPr>
          <w:rFonts w:ascii="Calibri" w:eastAsia="Calibri" w:hAnsi="Calibri" w:cs="Times New Roman"/>
        </w:rPr>
      </w:pPr>
      <w:r w:rsidRPr="00C02F50">
        <w:rPr>
          <w:rFonts w:ascii="Calibri" w:eastAsia="Calibri" w:hAnsi="Calibri" w:cs="Times New Roman"/>
        </w:rPr>
        <w:t>Projekty zgłoszone w ramach Programu będą oceniane według poniższych kryteriów i w ramach skali dla poniższych kategorii:</w:t>
      </w:r>
    </w:p>
    <w:tbl>
      <w:tblPr>
        <w:tblStyle w:val="Tabela-Siatka1"/>
        <w:tblW w:w="0" w:type="auto"/>
        <w:tblLook w:val="04A0" w:firstRow="1" w:lastRow="0" w:firstColumn="1" w:lastColumn="0" w:noHBand="0" w:noVBand="1"/>
      </w:tblPr>
      <w:tblGrid>
        <w:gridCol w:w="704"/>
        <w:gridCol w:w="5336"/>
        <w:gridCol w:w="3020"/>
      </w:tblGrid>
      <w:tr w:rsidR="00C02F50" w:rsidRPr="00C02F50" w14:paraId="10339BA6" w14:textId="77777777" w:rsidTr="00B73A2B">
        <w:tc>
          <w:tcPr>
            <w:tcW w:w="704" w:type="dxa"/>
          </w:tcPr>
          <w:p w14:paraId="5899620E" w14:textId="77777777" w:rsidR="00C02F50" w:rsidRPr="00C02F50" w:rsidRDefault="00C02F50" w:rsidP="00C02F50">
            <w:pPr>
              <w:jc w:val="both"/>
              <w:rPr>
                <w:rFonts w:ascii="Calibri" w:eastAsia="Calibri" w:hAnsi="Calibri" w:cs="Times New Roman"/>
              </w:rPr>
            </w:pPr>
            <w:r w:rsidRPr="00C02F50">
              <w:rPr>
                <w:rFonts w:ascii="Calibri" w:eastAsia="Calibri" w:hAnsi="Calibri" w:cs="Times New Roman"/>
              </w:rPr>
              <w:t>Lp.</w:t>
            </w:r>
          </w:p>
        </w:tc>
        <w:tc>
          <w:tcPr>
            <w:tcW w:w="5337" w:type="dxa"/>
          </w:tcPr>
          <w:p w14:paraId="0F53929F" w14:textId="77777777" w:rsidR="00C02F50" w:rsidRPr="00C02F50" w:rsidRDefault="00C02F50" w:rsidP="00C02F50">
            <w:pPr>
              <w:jc w:val="both"/>
              <w:rPr>
                <w:rFonts w:ascii="Calibri" w:eastAsia="Calibri" w:hAnsi="Calibri" w:cs="Times New Roman"/>
                <w:b/>
                <w:bCs/>
              </w:rPr>
            </w:pPr>
            <w:r w:rsidRPr="00C02F50">
              <w:rPr>
                <w:rFonts w:ascii="Calibri" w:eastAsia="Calibri" w:hAnsi="Calibri" w:cs="Times New Roman"/>
                <w:b/>
                <w:bCs/>
              </w:rPr>
              <w:t>Kryteria zawarte w karcie oceny merytorycznej</w:t>
            </w:r>
          </w:p>
        </w:tc>
        <w:tc>
          <w:tcPr>
            <w:tcW w:w="3021" w:type="dxa"/>
          </w:tcPr>
          <w:p w14:paraId="142CA7F2" w14:textId="77777777" w:rsidR="00C02F50" w:rsidRPr="00C02F50" w:rsidRDefault="00C02F50" w:rsidP="00C02F50">
            <w:pPr>
              <w:jc w:val="both"/>
              <w:rPr>
                <w:rFonts w:ascii="Calibri" w:eastAsia="Calibri" w:hAnsi="Calibri" w:cs="Times New Roman"/>
                <w:b/>
                <w:bCs/>
              </w:rPr>
            </w:pPr>
            <w:r w:rsidRPr="00C02F50">
              <w:rPr>
                <w:rFonts w:ascii="Calibri" w:eastAsia="Calibri" w:hAnsi="Calibri" w:cs="Times New Roman"/>
                <w:b/>
                <w:bCs/>
              </w:rPr>
              <w:t>Waga kryterium</w:t>
            </w:r>
          </w:p>
        </w:tc>
      </w:tr>
      <w:tr w:rsidR="00C02F50" w:rsidRPr="00C02F50" w14:paraId="2AC66721" w14:textId="77777777" w:rsidTr="00B73A2B">
        <w:tc>
          <w:tcPr>
            <w:tcW w:w="704" w:type="dxa"/>
          </w:tcPr>
          <w:p w14:paraId="26E6F3A4" w14:textId="77777777" w:rsidR="00C02F50" w:rsidRPr="00C02F50" w:rsidRDefault="00C02F50" w:rsidP="00C02F50">
            <w:pPr>
              <w:jc w:val="both"/>
              <w:rPr>
                <w:rFonts w:ascii="Calibri" w:eastAsia="Calibri" w:hAnsi="Calibri" w:cs="Times New Roman"/>
              </w:rPr>
            </w:pPr>
            <w:r w:rsidRPr="00C02F50">
              <w:rPr>
                <w:rFonts w:ascii="Calibri" w:eastAsia="Calibri" w:hAnsi="Calibri" w:cs="Times New Roman"/>
              </w:rPr>
              <w:t>1</w:t>
            </w:r>
          </w:p>
        </w:tc>
        <w:tc>
          <w:tcPr>
            <w:tcW w:w="5337" w:type="dxa"/>
          </w:tcPr>
          <w:p w14:paraId="051DA73C" w14:textId="77777777" w:rsidR="00C02F50" w:rsidRPr="00C02F50" w:rsidRDefault="00C02F50" w:rsidP="00C02F50">
            <w:pPr>
              <w:jc w:val="both"/>
              <w:rPr>
                <w:rFonts w:ascii="Calibri" w:eastAsia="Calibri" w:hAnsi="Calibri" w:cs="Times New Roman"/>
              </w:rPr>
            </w:pPr>
            <w:r w:rsidRPr="00C02F50">
              <w:rPr>
                <w:rFonts w:ascii="Calibri" w:eastAsia="Calibri" w:hAnsi="Calibri" w:cs="Times New Roman"/>
              </w:rPr>
              <w:t>Zgodność celów szczegółowych projektu i planowanych działań z zakresem tematycznym konkursu;</w:t>
            </w:r>
          </w:p>
        </w:tc>
        <w:tc>
          <w:tcPr>
            <w:tcW w:w="3021" w:type="dxa"/>
          </w:tcPr>
          <w:p w14:paraId="5DA5554E" w14:textId="77777777" w:rsidR="00C02F50" w:rsidRPr="00C02F50" w:rsidRDefault="00C02F50" w:rsidP="00C02F50">
            <w:pPr>
              <w:jc w:val="both"/>
              <w:rPr>
                <w:rFonts w:ascii="Calibri" w:eastAsia="Calibri" w:hAnsi="Calibri" w:cs="Times New Roman"/>
              </w:rPr>
            </w:pPr>
            <w:r w:rsidRPr="00C02F50">
              <w:rPr>
                <w:rFonts w:ascii="Calibri" w:eastAsia="Calibri" w:hAnsi="Calibri" w:cs="Times New Roman"/>
              </w:rPr>
              <w:t>15 pkt</w:t>
            </w:r>
          </w:p>
        </w:tc>
      </w:tr>
      <w:tr w:rsidR="00C02F50" w:rsidRPr="00C02F50" w14:paraId="2FA37BA9" w14:textId="77777777" w:rsidTr="00B73A2B">
        <w:tc>
          <w:tcPr>
            <w:tcW w:w="704" w:type="dxa"/>
          </w:tcPr>
          <w:p w14:paraId="186F3601" w14:textId="77777777" w:rsidR="00C02F50" w:rsidRPr="00C02F50" w:rsidRDefault="00C02F50" w:rsidP="00C02F50">
            <w:pPr>
              <w:jc w:val="both"/>
              <w:rPr>
                <w:rFonts w:ascii="Calibri" w:eastAsia="Calibri" w:hAnsi="Calibri" w:cs="Times New Roman"/>
              </w:rPr>
            </w:pPr>
            <w:r w:rsidRPr="00C02F50">
              <w:rPr>
                <w:rFonts w:ascii="Calibri" w:eastAsia="Calibri" w:hAnsi="Calibri" w:cs="Times New Roman"/>
              </w:rPr>
              <w:t>2</w:t>
            </w:r>
          </w:p>
        </w:tc>
        <w:tc>
          <w:tcPr>
            <w:tcW w:w="5337" w:type="dxa"/>
          </w:tcPr>
          <w:p w14:paraId="7D77961B" w14:textId="77777777" w:rsidR="00C02F50" w:rsidRPr="00C02F50" w:rsidRDefault="00C02F50" w:rsidP="00C02F50">
            <w:pPr>
              <w:jc w:val="both"/>
              <w:rPr>
                <w:rFonts w:ascii="Calibri" w:eastAsia="Calibri" w:hAnsi="Calibri" w:cs="Times New Roman"/>
              </w:rPr>
            </w:pPr>
            <w:r w:rsidRPr="00C02F50">
              <w:rPr>
                <w:rFonts w:ascii="Calibri" w:eastAsia="Calibri" w:hAnsi="Calibri" w:cs="Times New Roman"/>
              </w:rPr>
              <w:t>Dobór grupy docelowej i rekrutacja uczestników; Adekwatność metod działania dla wybranej grupy docelowej;</w:t>
            </w:r>
          </w:p>
        </w:tc>
        <w:tc>
          <w:tcPr>
            <w:tcW w:w="3021" w:type="dxa"/>
          </w:tcPr>
          <w:p w14:paraId="6FC69087" w14:textId="77777777" w:rsidR="00C02F50" w:rsidRPr="00C02F50" w:rsidRDefault="00C02F50" w:rsidP="00C02F50">
            <w:pPr>
              <w:jc w:val="both"/>
              <w:rPr>
                <w:rFonts w:ascii="Calibri" w:eastAsia="Calibri" w:hAnsi="Calibri" w:cs="Times New Roman"/>
              </w:rPr>
            </w:pPr>
            <w:r w:rsidRPr="00C02F50">
              <w:rPr>
                <w:rFonts w:ascii="Calibri" w:eastAsia="Calibri" w:hAnsi="Calibri" w:cs="Times New Roman"/>
              </w:rPr>
              <w:t>15 pkt</w:t>
            </w:r>
          </w:p>
        </w:tc>
      </w:tr>
      <w:tr w:rsidR="00C02F50" w:rsidRPr="00C02F50" w14:paraId="6962A8A8" w14:textId="77777777" w:rsidTr="00B73A2B">
        <w:tc>
          <w:tcPr>
            <w:tcW w:w="704" w:type="dxa"/>
          </w:tcPr>
          <w:p w14:paraId="2DCBDC89" w14:textId="77777777" w:rsidR="00C02F50" w:rsidRPr="00C02F50" w:rsidRDefault="00C02F50" w:rsidP="00C02F50">
            <w:pPr>
              <w:jc w:val="both"/>
              <w:rPr>
                <w:rFonts w:ascii="Calibri" w:eastAsia="Calibri" w:hAnsi="Calibri" w:cs="Times New Roman"/>
              </w:rPr>
            </w:pPr>
            <w:r w:rsidRPr="00C02F50">
              <w:rPr>
                <w:rFonts w:ascii="Calibri" w:eastAsia="Calibri" w:hAnsi="Calibri" w:cs="Times New Roman"/>
              </w:rPr>
              <w:t>3</w:t>
            </w:r>
          </w:p>
        </w:tc>
        <w:tc>
          <w:tcPr>
            <w:tcW w:w="5337" w:type="dxa"/>
          </w:tcPr>
          <w:p w14:paraId="00D83AF5" w14:textId="77777777" w:rsidR="00C02F50" w:rsidRPr="00C02F50" w:rsidRDefault="00C02F50" w:rsidP="00C02F50">
            <w:pPr>
              <w:jc w:val="both"/>
              <w:rPr>
                <w:rFonts w:ascii="Calibri" w:eastAsia="Calibri" w:hAnsi="Calibri" w:cs="Times New Roman"/>
              </w:rPr>
            </w:pPr>
            <w:r w:rsidRPr="00C02F50">
              <w:rPr>
                <w:rFonts w:ascii="Calibri" w:eastAsia="Calibri" w:hAnsi="Calibri" w:cs="Times New Roman"/>
              </w:rPr>
              <w:t>Spójność wewnętrzna projektu – zgodność w obrębie planowanych celów, ich rezultatów, działań</w:t>
            </w:r>
          </w:p>
          <w:p w14:paraId="025A6B8D" w14:textId="77777777" w:rsidR="00C02F50" w:rsidRPr="00C02F50" w:rsidRDefault="00C02F50" w:rsidP="00C02F50">
            <w:pPr>
              <w:jc w:val="both"/>
              <w:rPr>
                <w:rFonts w:ascii="Calibri" w:eastAsia="Calibri" w:hAnsi="Calibri" w:cs="Times New Roman"/>
              </w:rPr>
            </w:pPr>
            <w:r w:rsidRPr="00C02F50">
              <w:rPr>
                <w:rFonts w:ascii="Calibri" w:eastAsia="Calibri" w:hAnsi="Calibri" w:cs="Times New Roman"/>
              </w:rPr>
              <w:lastRenderedPageBreak/>
              <w:t>prowadzących do rezultatów, zaplanowanych nakładów i wybranej grupy docelowej; Mierzalność rezultatów</w:t>
            </w:r>
          </w:p>
        </w:tc>
        <w:tc>
          <w:tcPr>
            <w:tcW w:w="3021" w:type="dxa"/>
          </w:tcPr>
          <w:p w14:paraId="61DCA995" w14:textId="77777777" w:rsidR="00C02F50" w:rsidRPr="00C02F50" w:rsidRDefault="00C02F50" w:rsidP="00C02F50">
            <w:pPr>
              <w:jc w:val="both"/>
              <w:rPr>
                <w:rFonts w:ascii="Calibri" w:eastAsia="Calibri" w:hAnsi="Calibri" w:cs="Times New Roman"/>
              </w:rPr>
            </w:pPr>
            <w:r w:rsidRPr="00C02F50">
              <w:rPr>
                <w:rFonts w:ascii="Calibri" w:eastAsia="Calibri" w:hAnsi="Calibri" w:cs="Times New Roman"/>
              </w:rPr>
              <w:lastRenderedPageBreak/>
              <w:t>20 pkt</w:t>
            </w:r>
          </w:p>
        </w:tc>
      </w:tr>
      <w:tr w:rsidR="00C02F50" w:rsidRPr="00C02F50" w14:paraId="39F59A58" w14:textId="77777777" w:rsidTr="00B73A2B">
        <w:tc>
          <w:tcPr>
            <w:tcW w:w="704" w:type="dxa"/>
          </w:tcPr>
          <w:p w14:paraId="08ED195D" w14:textId="77777777" w:rsidR="00C02F50" w:rsidRPr="00C02F50" w:rsidRDefault="00C02F50" w:rsidP="00C02F50">
            <w:pPr>
              <w:jc w:val="both"/>
              <w:rPr>
                <w:rFonts w:ascii="Calibri" w:eastAsia="Calibri" w:hAnsi="Calibri" w:cs="Times New Roman"/>
              </w:rPr>
            </w:pPr>
            <w:r w:rsidRPr="00C02F50">
              <w:rPr>
                <w:rFonts w:ascii="Calibri" w:eastAsia="Calibri" w:hAnsi="Calibri" w:cs="Times New Roman"/>
              </w:rPr>
              <w:t>4</w:t>
            </w:r>
          </w:p>
        </w:tc>
        <w:tc>
          <w:tcPr>
            <w:tcW w:w="5337" w:type="dxa"/>
          </w:tcPr>
          <w:p w14:paraId="0AF2C095" w14:textId="77777777" w:rsidR="00C02F50" w:rsidRPr="00C02F50" w:rsidRDefault="00C02F50" w:rsidP="00C02F50">
            <w:pPr>
              <w:jc w:val="both"/>
              <w:rPr>
                <w:rFonts w:ascii="Calibri" w:eastAsia="Calibri" w:hAnsi="Calibri" w:cs="Times New Roman"/>
              </w:rPr>
            </w:pPr>
            <w:r w:rsidRPr="00C02F50">
              <w:rPr>
                <w:rFonts w:ascii="Calibri" w:eastAsia="Calibri" w:hAnsi="Calibri" w:cs="Times New Roman"/>
              </w:rPr>
              <w:t>Gospodarne, rzetelne i przejrzyste opracowanie budżetu projektu;</w:t>
            </w:r>
          </w:p>
        </w:tc>
        <w:tc>
          <w:tcPr>
            <w:tcW w:w="3021" w:type="dxa"/>
          </w:tcPr>
          <w:p w14:paraId="1DD2C5A9" w14:textId="77777777" w:rsidR="00C02F50" w:rsidRPr="00C02F50" w:rsidRDefault="00C02F50" w:rsidP="00C02F50">
            <w:pPr>
              <w:jc w:val="both"/>
              <w:rPr>
                <w:rFonts w:ascii="Calibri" w:eastAsia="Calibri" w:hAnsi="Calibri" w:cs="Times New Roman"/>
              </w:rPr>
            </w:pPr>
            <w:r w:rsidRPr="00C02F50">
              <w:rPr>
                <w:rFonts w:ascii="Calibri" w:eastAsia="Calibri" w:hAnsi="Calibri" w:cs="Times New Roman"/>
              </w:rPr>
              <w:t xml:space="preserve">40 pkt </w:t>
            </w:r>
          </w:p>
        </w:tc>
      </w:tr>
      <w:tr w:rsidR="00C02F50" w:rsidRPr="00C02F50" w14:paraId="700BC7EE" w14:textId="77777777" w:rsidTr="00B73A2B">
        <w:tc>
          <w:tcPr>
            <w:tcW w:w="704" w:type="dxa"/>
          </w:tcPr>
          <w:p w14:paraId="1E2EF36B" w14:textId="77777777" w:rsidR="00C02F50" w:rsidRPr="00C02F50" w:rsidRDefault="00C02F50" w:rsidP="00C02F50">
            <w:pPr>
              <w:jc w:val="both"/>
              <w:rPr>
                <w:rFonts w:ascii="Calibri" w:eastAsia="Calibri" w:hAnsi="Calibri" w:cs="Times New Roman"/>
              </w:rPr>
            </w:pPr>
            <w:r w:rsidRPr="00C02F50">
              <w:rPr>
                <w:rFonts w:ascii="Calibri" w:eastAsia="Calibri" w:hAnsi="Calibri" w:cs="Times New Roman"/>
              </w:rPr>
              <w:t>5</w:t>
            </w:r>
          </w:p>
        </w:tc>
        <w:tc>
          <w:tcPr>
            <w:tcW w:w="5337" w:type="dxa"/>
          </w:tcPr>
          <w:p w14:paraId="0A3D145C" w14:textId="77777777" w:rsidR="00C02F50" w:rsidRPr="00C02F50" w:rsidRDefault="00C02F50" w:rsidP="00C02F50">
            <w:pPr>
              <w:jc w:val="both"/>
              <w:rPr>
                <w:rFonts w:ascii="Calibri" w:eastAsia="Calibri" w:hAnsi="Calibri" w:cs="Times New Roman"/>
              </w:rPr>
            </w:pPr>
            <w:r w:rsidRPr="00C02F50">
              <w:rPr>
                <w:rFonts w:ascii="Calibri" w:eastAsia="Calibri" w:hAnsi="Calibri" w:cs="Times New Roman"/>
              </w:rPr>
              <w:t>Doświadczenie w realizacji projektów na rzecz Polonii i Polaków za granicą;</w:t>
            </w:r>
          </w:p>
        </w:tc>
        <w:tc>
          <w:tcPr>
            <w:tcW w:w="3021" w:type="dxa"/>
          </w:tcPr>
          <w:p w14:paraId="6442C1A5" w14:textId="77777777" w:rsidR="00C02F50" w:rsidRPr="00C02F50" w:rsidRDefault="00C02F50" w:rsidP="00C02F50">
            <w:pPr>
              <w:jc w:val="both"/>
              <w:rPr>
                <w:rFonts w:ascii="Calibri" w:eastAsia="Calibri" w:hAnsi="Calibri" w:cs="Times New Roman"/>
              </w:rPr>
            </w:pPr>
            <w:r w:rsidRPr="00C02F50">
              <w:rPr>
                <w:rFonts w:ascii="Calibri" w:eastAsia="Calibri" w:hAnsi="Calibri" w:cs="Times New Roman"/>
              </w:rPr>
              <w:t>10 pkt</w:t>
            </w:r>
          </w:p>
        </w:tc>
      </w:tr>
      <w:tr w:rsidR="00625704" w:rsidRPr="00C02F50" w14:paraId="0AAC912C" w14:textId="77777777" w:rsidTr="00B73A2B">
        <w:tc>
          <w:tcPr>
            <w:tcW w:w="704" w:type="dxa"/>
          </w:tcPr>
          <w:p w14:paraId="3247239C" w14:textId="393E0F6E" w:rsidR="00625704" w:rsidRPr="00625704" w:rsidRDefault="00625704" w:rsidP="00C02F50">
            <w:pPr>
              <w:jc w:val="both"/>
              <w:rPr>
                <w:rFonts w:ascii="Calibri" w:eastAsia="Calibri" w:hAnsi="Calibri" w:cs="Times New Roman"/>
                <w:b/>
                <w:bCs/>
              </w:rPr>
            </w:pPr>
            <w:r w:rsidRPr="00625704">
              <w:rPr>
                <w:rFonts w:ascii="Calibri" w:eastAsia="Calibri" w:hAnsi="Calibri" w:cs="Times New Roman"/>
                <w:b/>
                <w:bCs/>
              </w:rPr>
              <w:t>Lp.</w:t>
            </w:r>
          </w:p>
        </w:tc>
        <w:tc>
          <w:tcPr>
            <w:tcW w:w="5337" w:type="dxa"/>
          </w:tcPr>
          <w:p w14:paraId="6E2DF76E" w14:textId="3F7FF40E" w:rsidR="00625704" w:rsidRPr="00625704" w:rsidRDefault="00625704" w:rsidP="00C02F50">
            <w:pPr>
              <w:jc w:val="both"/>
              <w:rPr>
                <w:rFonts w:ascii="Calibri" w:eastAsia="Calibri" w:hAnsi="Calibri" w:cs="Times New Roman"/>
                <w:b/>
                <w:bCs/>
              </w:rPr>
            </w:pPr>
            <w:r w:rsidRPr="00625704">
              <w:rPr>
                <w:rFonts w:ascii="Calibri" w:eastAsia="Calibri" w:hAnsi="Calibri" w:cs="Times New Roman"/>
                <w:b/>
                <w:bCs/>
              </w:rPr>
              <w:t>Kryterium premiujące</w:t>
            </w:r>
          </w:p>
        </w:tc>
        <w:tc>
          <w:tcPr>
            <w:tcW w:w="3021" w:type="dxa"/>
          </w:tcPr>
          <w:p w14:paraId="747A160B" w14:textId="05C387D1" w:rsidR="00625704" w:rsidRPr="00625704" w:rsidRDefault="00625704" w:rsidP="00C02F50">
            <w:pPr>
              <w:jc w:val="both"/>
              <w:rPr>
                <w:rFonts w:ascii="Calibri" w:eastAsia="Calibri" w:hAnsi="Calibri" w:cs="Times New Roman"/>
                <w:b/>
                <w:bCs/>
              </w:rPr>
            </w:pPr>
            <w:r w:rsidRPr="00625704">
              <w:rPr>
                <w:rFonts w:ascii="Calibri" w:eastAsia="Calibri" w:hAnsi="Calibri" w:cs="Times New Roman"/>
                <w:b/>
                <w:bCs/>
              </w:rPr>
              <w:t>Waga kryterium</w:t>
            </w:r>
          </w:p>
        </w:tc>
      </w:tr>
      <w:tr w:rsidR="00625704" w:rsidRPr="00C02F50" w14:paraId="112E5225" w14:textId="77777777" w:rsidTr="00B73A2B">
        <w:tc>
          <w:tcPr>
            <w:tcW w:w="704" w:type="dxa"/>
          </w:tcPr>
          <w:p w14:paraId="30C7BCC6" w14:textId="2AC29C9F" w:rsidR="00625704" w:rsidRPr="00C02F50" w:rsidRDefault="00625704" w:rsidP="00C02F50">
            <w:pPr>
              <w:jc w:val="both"/>
              <w:rPr>
                <w:rFonts w:ascii="Calibri" w:eastAsia="Calibri" w:hAnsi="Calibri" w:cs="Times New Roman"/>
              </w:rPr>
            </w:pPr>
            <w:r>
              <w:rPr>
                <w:rFonts w:ascii="Calibri" w:eastAsia="Calibri" w:hAnsi="Calibri" w:cs="Times New Roman"/>
              </w:rPr>
              <w:t>1</w:t>
            </w:r>
          </w:p>
        </w:tc>
        <w:tc>
          <w:tcPr>
            <w:tcW w:w="5337" w:type="dxa"/>
          </w:tcPr>
          <w:p w14:paraId="79A1CE9E" w14:textId="6C89691C" w:rsidR="00625704" w:rsidRPr="00C02F50" w:rsidRDefault="00625704" w:rsidP="00C02F50">
            <w:pPr>
              <w:jc w:val="both"/>
              <w:rPr>
                <w:rFonts w:ascii="Calibri" w:eastAsia="Calibri" w:hAnsi="Calibri" w:cs="Times New Roman"/>
              </w:rPr>
            </w:pPr>
            <w:r>
              <w:rPr>
                <w:rFonts w:ascii="Calibri" w:eastAsia="Calibri" w:hAnsi="Calibri" w:cs="Times New Roman"/>
              </w:rPr>
              <w:t>Wniesienie wkładu własnego w wysokości min. 10%</w:t>
            </w:r>
          </w:p>
        </w:tc>
        <w:tc>
          <w:tcPr>
            <w:tcW w:w="3021" w:type="dxa"/>
          </w:tcPr>
          <w:p w14:paraId="4F8089AB" w14:textId="3800222E" w:rsidR="00625704" w:rsidRPr="00C02F50" w:rsidRDefault="00625704" w:rsidP="00C02F50">
            <w:pPr>
              <w:jc w:val="both"/>
              <w:rPr>
                <w:rFonts w:ascii="Calibri" w:eastAsia="Calibri" w:hAnsi="Calibri" w:cs="Times New Roman"/>
              </w:rPr>
            </w:pPr>
            <w:r>
              <w:rPr>
                <w:rFonts w:ascii="Calibri" w:eastAsia="Calibri" w:hAnsi="Calibri" w:cs="Times New Roman"/>
              </w:rPr>
              <w:t>10 pkt</w:t>
            </w:r>
          </w:p>
        </w:tc>
      </w:tr>
    </w:tbl>
    <w:p w14:paraId="0F01F25F" w14:textId="77777777" w:rsidR="00C02F50" w:rsidRPr="00C02F50" w:rsidRDefault="00C02F50" w:rsidP="00C02F50">
      <w:pPr>
        <w:jc w:val="both"/>
        <w:rPr>
          <w:rFonts w:ascii="Calibri" w:eastAsia="Calibri" w:hAnsi="Calibri" w:cs="Times New Roman"/>
        </w:rPr>
      </w:pPr>
    </w:p>
    <w:p w14:paraId="58BBD232" w14:textId="77777777" w:rsidR="00C02F50" w:rsidRPr="00C02F50" w:rsidRDefault="00C02F50" w:rsidP="00C02F50">
      <w:pPr>
        <w:numPr>
          <w:ilvl w:val="0"/>
          <w:numId w:val="21"/>
        </w:numPr>
        <w:contextualSpacing/>
        <w:jc w:val="both"/>
        <w:rPr>
          <w:rFonts w:ascii="Calibri" w:eastAsia="Calibri" w:hAnsi="Calibri" w:cs="Times New Roman"/>
        </w:rPr>
      </w:pPr>
      <w:r w:rsidRPr="00C02F50">
        <w:rPr>
          <w:rFonts w:ascii="Calibri" w:eastAsia="Calibri" w:hAnsi="Calibri" w:cs="Times New Roman"/>
        </w:rPr>
        <w:t>Dodatkowe punkty oferta może otrzymać za wniesienie wkładu własnego ( rzeczowego, osobowego) w wysokości 10%. Ilość punktów za wkład własny w wysokości 10%-10 pkt.</w:t>
      </w:r>
    </w:p>
    <w:p w14:paraId="387B9E08" w14:textId="77777777" w:rsidR="00C02F50" w:rsidRPr="00C02F50" w:rsidRDefault="00C02F50" w:rsidP="00C02F50">
      <w:pPr>
        <w:numPr>
          <w:ilvl w:val="0"/>
          <w:numId w:val="7"/>
        </w:numPr>
        <w:contextualSpacing/>
        <w:jc w:val="both"/>
        <w:rPr>
          <w:rFonts w:ascii="Calibri" w:eastAsia="Calibri" w:hAnsi="Calibri" w:cs="Times New Roman"/>
        </w:rPr>
      </w:pPr>
      <w:r w:rsidRPr="00C02F50">
        <w:rPr>
          <w:rFonts w:ascii="Calibri" w:eastAsia="Calibri" w:hAnsi="Calibri" w:cs="Times New Roman"/>
        </w:rPr>
        <w:t>Członkowie Komisji przygotowują pisemne oceny punktowe ocenianych przez siebie wniosków, na podstawie których powstaje ranking przedstawiany do zatwierdzenia przez Przewodniczącego Komisji. Po zatwierdzeniu decyzji Komisji, lista przyznanych dotacji jest publikowana niezwłocznie (i nie później niż w ciągu 7 dni od daty zatwierdzenia) na stronie internetowej projektu. W przypadku zwiększenia lub zredukowania wnioskowanej kwoty środków na dofinansowanie projektu, Komisja może wskazać pozycje budżetu projektu, których dotyczy zwiększenie lub redukcja. W przypadku nierekomendowania przez Komisję jakiegokolwiek elementu projektu wykazanego jako wkład własny, oferent będzie zobowiązany do uzupełnienia wkładu własnego do poziomu wymaganego w pkt. 7.2. Regulaminu. Rekomendując dofinansowanie oferty Komisja ma prawo do zlecenia modyfikacji zakresu działań opisanych w ofercie i/lub budżetu projektu. Koszty powinny być realistyczne i bezpośrednio związane z działaniami projektowymi. Komisja rekomenduje do dofinansowania projekty, które otrzymają minimum 60% maksymalnej oceny i mieszczą się w limicie środków przewidzianym w pkt. 1.4. Regulaminu. Projekty, które otrzymały minimum 60% maksymalnej oceny, ale nie zostały rekomendowane do dofinansowania z uwagi na wyczerpanie limitu środków przeznaczonych na sfinansowanie danego działania, umieszczane są na liście rezerwowej. Decyzje Komisji, zatwierdzone przez Przewodniczącego Komisji, są ostateczne i nie przysługuje od nich odwołanie.</w:t>
      </w:r>
    </w:p>
    <w:p w14:paraId="796A78E3" w14:textId="77777777" w:rsidR="00C02F50" w:rsidRPr="00C02F50" w:rsidRDefault="00C02F50" w:rsidP="00C02F50">
      <w:pPr>
        <w:jc w:val="both"/>
        <w:rPr>
          <w:rFonts w:ascii="Calibri" w:eastAsia="Calibri" w:hAnsi="Calibri" w:cs="Times New Roman"/>
        </w:rPr>
      </w:pPr>
    </w:p>
    <w:p w14:paraId="04AC9075" w14:textId="77777777" w:rsidR="00C02F50" w:rsidRPr="00C02F50" w:rsidRDefault="00C02F50" w:rsidP="00C02F50">
      <w:pPr>
        <w:numPr>
          <w:ilvl w:val="0"/>
          <w:numId w:val="3"/>
        </w:numPr>
        <w:contextualSpacing/>
        <w:jc w:val="both"/>
        <w:rPr>
          <w:rFonts w:ascii="Calibri" w:eastAsia="Calibri" w:hAnsi="Calibri" w:cs="Times New Roman"/>
        </w:rPr>
      </w:pPr>
      <w:r w:rsidRPr="00C02F50">
        <w:rPr>
          <w:rFonts w:ascii="Calibri" w:eastAsia="Calibri" w:hAnsi="Calibri" w:cs="Times New Roman"/>
        </w:rPr>
        <w:t>Realizacja i rozliczenie zadania publicznego</w:t>
      </w:r>
    </w:p>
    <w:p w14:paraId="6B2E92DF" w14:textId="77777777" w:rsidR="00C02F50" w:rsidRPr="00C02F50" w:rsidRDefault="00C02F50" w:rsidP="00C02F50">
      <w:pPr>
        <w:numPr>
          <w:ilvl w:val="0"/>
          <w:numId w:val="11"/>
        </w:numPr>
        <w:contextualSpacing/>
        <w:jc w:val="both"/>
        <w:rPr>
          <w:rFonts w:ascii="Calibri" w:eastAsia="Calibri" w:hAnsi="Calibri" w:cs="Times New Roman"/>
        </w:rPr>
      </w:pPr>
      <w:r w:rsidRPr="00C02F50">
        <w:rPr>
          <w:rFonts w:ascii="Calibri" w:eastAsia="Calibri" w:hAnsi="Calibri" w:cs="Times New Roman"/>
        </w:rPr>
        <w:t xml:space="preserve">Z oferentem, którego oferta została wskazana na liście rankingowej do dofinansowania zostanie zwarta umowa dotacji. </w:t>
      </w:r>
    </w:p>
    <w:p w14:paraId="74C561F4" w14:textId="77777777" w:rsidR="00C02F50" w:rsidRPr="00C02F50" w:rsidRDefault="00C02F50" w:rsidP="00C02F50">
      <w:pPr>
        <w:numPr>
          <w:ilvl w:val="0"/>
          <w:numId w:val="11"/>
        </w:numPr>
        <w:contextualSpacing/>
        <w:jc w:val="both"/>
        <w:rPr>
          <w:rFonts w:ascii="Calibri" w:eastAsia="Calibri" w:hAnsi="Calibri" w:cs="Times New Roman"/>
        </w:rPr>
      </w:pPr>
      <w:r w:rsidRPr="00C02F50">
        <w:rPr>
          <w:rFonts w:ascii="Calibri" w:eastAsia="Calibri" w:hAnsi="Calibri" w:cs="Times New Roman"/>
        </w:rPr>
        <w:t>Zasady dokonywania zmian treści umowy:</w:t>
      </w:r>
    </w:p>
    <w:p w14:paraId="534BD20A" w14:textId="77777777" w:rsidR="00C02F50" w:rsidRPr="00C02F50" w:rsidRDefault="00C02F50" w:rsidP="00C02F50">
      <w:pPr>
        <w:numPr>
          <w:ilvl w:val="0"/>
          <w:numId w:val="12"/>
        </w:numPr>
        <w:contextualSpacing/>
        <w:jc w:val="both"/>
        <w:rPr>
          <w:rFonts w:ascii="Calibri" w:eastAsia="Calibri" w:hAnsi="Calibri" w:cs="Times New Roman"/>
        </w:rPr>
      </w:pPr>
      <w:r w:rsidRPr="00C02F50">
        <w:rPr>
          <w:rFonts w:ascii="Calibri" w:eastAsia="Calibri" w:hAnsi="Calibri" w:cs="Times New Roman"/>
          <w:b/>
          <w:bCs/>
        </w:rPr>
        <w:t>Harmonogram</w:t>
      </w:r>
      <w:r w:rsidRPr="00C02F50">
        <w:rPr>
          <w:rFonts w:ascii="Calibri" w:eastAsia="Calibri" w:hAnsi="Calibri" w:cs="Times New Roman"/>
        </w:rPr>
        <w:t xml:space="preserve"> – zmiany w harmonogramach realizacji zadań nie wymagają formy aneksu pod warunkiem, że nie naruszają okresu realizacji projektu, ani nie wpływają negatywnie  na osiągnięcie rezultatów. Realizator zadania zgłasza mailowo do SWP jedynie informację o zaistniałych zmianach. Informacja ta powinna zostać zaktualizowana we wniosku i zostać zawarta w sprawozdaniu. </w:t>
      </w:r>
    </w:p>
    <w:p w14:paraId="1EC5A1FA" w14:textId="77777777" w:rsidR="00C02F50" w:rsidRPr="00C02F50" w:rsidRDefault="00C02F50" w:rsidP="00C02F50">
      <w:pPr>
        <w:numPr>
          <w:ilvl w:val="0"/>
          <w:numId w:val="12"/>
        </w:numPr>
        <w:contextualSpacing/>
        <w:jc w:val="both"/>
        <w:rPr>
          <w:rFonts w:ascii="Calibri" w:eastAsia="Calibri" w:hAnsi="Calibri" w:cs="Times New Roman"/>
        </w:rPr>
      </w:pPr>
      <w:r w:rsidRPr="00C02F50">
        <w:rPr>
          <w:rFonts w:ascii="Calibri" w:eastAsia="Calibri" w:hAnsi="Calibri" w:cs="Times New Roman"/>
          <w:b/>
          <w:bCs/>
        </w:rPr>
        <w:t>Termin realizacji zadania</w:t>
      </w:r>
      <w:r w:rsidRPr="00C02F50">
        <w:rPr>
          <w:rFonts w:ascii="Calibri" w:eastAsia="Calibri" w:hAnsi="Calibri" w:cs="Times New Roman"/>
        </w:rPr>
        <w:t xml:space="preserve"> – w uzasadnionych przypadkach istnieje możliwość zmiany w tym zakresie w formie aneksu do umowy. </w:t>
      </w:r>
    </w:p>
    <w:p w14:paraId="1EE3AD38" w14:textId="77777777" w:rsidR="00C02F50" w:rsidRPr="00C02F50" w:rsidRDefault="00C02F50" w:rsidP="00C02F50">
      <w:pPr>
        <w:numPr>
          <w:ilvl w:val="0"/>
          <w:numId w:val="12"/>
        </w:numPr>
        <w:contextualSpacing/>
        <w:jc w:val="both"/>
        <w:rPr>
          <w:rFonts w:ascii="Calibri" w:eastAsia="Calibri" w:hAnsi="Calibri" w:cs="Times New Roman"/>
        </w:rPr>
      </w:pPr>
      <w:r w:rsidRPr="00C02F50">
        <w:rPr>
          <w:rFonts w:ascii="Calibri" w:eastAsia="Calibri" w:hAnsi="Calibri" w:cs="Times New Roman"/>
          <w:b/>
          <w:bCs/>
        </w:rPr>
        <w:lastRenderedPageBreak/>
        <w:t>Kosztorys</w:t>
      </w:r>
      <w:r w:rsidRPr="00C02F50">
        <w:rPr>
          <w:rFonts w:ascii="Calibri" w:eastAsia="Calibri" w:hAnsi="Calibri" w:cs="Times New Roman"/>
        </w:rPr>
        <w:t xml:space="preserve"> – zmiana treści (np. wprowadzenie nowej pozycji do kosztorysu, obniżenie środków własnych) wymaga zawarcia aneksu do umowy. Zmiany w poszczególnych pozycjach kosztorysu niewiążące się ze zmianą zakresu oraz kwot dofinansowania ani wkładu własnego (tzn. zmiany: rodzaju, miary, ceny jednostkowej i liczby jednostek) nie wymagają formy aneksu, a jedynie akceptacji pisemnego lub mailowego zgłoszenia modyfikacji do SWP, o ile nie wpływają na osiągnięcie założonych rezultatów i o ile nie dotyczą zmiany kwalifikacji wydatku z bieżącego na majątkowy lub odwrotnie. Informacje te powinny zostać zaktualizowane w ofercie i być zawarte w sprawozdaniu. </w:t>
      </w:r>
    </w:p>
    <w:p w14:paraId="1F78F611" w14:textId="77777777" w:rsidR="00C02F50" w:rsidRPr="00C02F50" w:rsidRDefault="00C02F50" w:rsidP="00C02F50">
      <w:pPr>
        <w:numPr>
          <w:ilvl w:val="0"/>
          <w:numId w:val="12"/>
        </w:numPr>
        <w:contextualSpacing/>
        <w:jc w:val="both"/>
        <w:rPr>
          <w:rFonts w:ascii="Calibri" w:eastAsia="Calibri" w:hAnsi="Calibri" w:cs="Times New Roman"/>
        </w:rPr>
      </w:pPr>
      <w:r w:rsidRPr="00C02F50">
        <w:rPr>
          <w:rFonts w:ascii="Calibri" w:eastAsia="Calibri" w:hAnsi="Calibri" w:cs="Times New Roman"/>
        </w:rPr>
        <w:t>Dopuszczalne jest przesunięcie w zakresie ponoszonych wydatków. Jeśli wydatek wykazany w sprawozdaniu z realizacji zadania publicznego nie jest równy kosztowi określonemu w odpowiedniej pozycji kosztorysu zadania publicznego, to uznaje się go za zgodny z umową wtedy, gdy nie nastąpiło jego zwiększenie o więcej niż 20,00 % albo zwiększenie nastąpiło ze środków pochodzących z wkładu własnego. Zwiększenie odpowiedniej pozycji kosztorysu o 20,00 % może nastąpić przy odpowiednim zmniejszeniu innych pozycji kosztorysu, bez względu na kategorię kosztów.</w:t>
      </w:r>
    </w:p>
    <w:p w14:paraId="7E84B0E8" w14:textId="77777777" w:rsidR="00C02F50" w:rsidRPr="00C02F50" w:rsidRDefault="00C02F50" w:rsidP="00C02F50">
      <w:pPr>
        <w:numPr>
          <w:ilvl w:val="0"/>
          <w:numId w:val="12"/>
        </w:numPr>
        <w:contextualSpacing/>
        <w:jc w:val="both"/>
        <w:rPr>
          <w:rFonts w:ascii="Calibri" w:eastAsia="Calibri" w:hAnsi="Calibri" w:cs="Times New Roman"/>
        </w:rPr>
      </w:pPr>
      <w:r w:rsidRPr="00C02F50">
        <w:rPr>
          <w:rFonts w:ascii="Calibri" w:eastAsia="Calibri" w:hAnsi="Calibri" w:cs="Times New Roman"/>
        </w:rPr>
        <w:t xml:space="preserve">Zmiany dotyczące: nazwy organizacji, siedziby organizacji, reprezentacji organizacji (zawarte w komparycji umowy), mailowego adresu kontaktowego nie wymagają formy aneksu, a jedynie pisemnego lub mailowego zgłoszenia do SWP. Informacja ta powinna zostać zaktualizowana w ofercie i być zawarta w sprawozdaniu. </w:t>
      </w:r>
    </w:p>
    <w:p w14:paraId="4383A01A" w14:textId="77777777" w:rsidR="00C02F50" w:rsidRPr="00C02F50" w:rsidRDefault="00C02F50" w:rsidP="00C02F50">
      <w:pPr>
        <w:numPr>
          <w:ilvl w:val="0"/>
          <w:numId w:val="12"/>
        </w:numPr>
        <w:contextualSpacing/>
        <w:jc w:val="both"/>
        <w:rPr>
          <w:rFonts w:ascii="Calibri" w:eastAsia="Calibri" w:hAnsi="Calibri" w:cs="Times New Roman"/>
        </w:rPr>
      </w:pPr>
      <w:r w:rsidRPr="00C02F50">
        <w:rPr>
          <w:rFonts w:ascii="Calibri" w:eastAsia="Calibri" w:hAnsi="Calibri" w:cs="Times New Roman"/>
        </w:rPr>
        <w:t xml:space="preserve">Proponowane przez Zleceniobiorcę zmiany wymagające formy aneksu wymagają uprzedniego złożenia wniosku do SWP o zawarcie aneksu do umowy nie później niż na 30 dni przed końcem realizacji finansowanego zadania. Pismo w tej sprawie należy przesłać pocztą elektroniczną na adres: </w:t>
      </w:r>
      <w:hyperlink r:id="rId10" w:history="1">
        <w:r w:rsidRPr="00C02F50">
          <w:rPr>
            <w:rFonts w:ascii="Calibri" w:eastAsia="Calibri" w:hAnsi="Calibri" w:cs="Times New Roman"/>
            <w:color w:val="0563C1"/>
            <w:u w:val="single"/>
          </w:rPr>
          <w:t>i.tarnogorska@swp.org.pl</w:t>
        </w:r>
      </w:hyperlink>
      <w:r w:rsidRPr="00C02F50">
        <w:rPr>
          <w:rFonts w:ascii="Calibri" w:eastAsia="Calibri" w:hAnsi="Calibri" w:cs="Times New Roman"/>
        </w:rPr>
        <w:t xml:space="preserve"> SWP zweryfikuje wprowadzone dane i po akceptacji sformułuje stosowny aneks.</w:t>
      </w:r>
    </w:p>
    <w:p w14:paraId="2BA1EDF9" w14:textId="77777777" w:rsidR="00C02F50" w:rsidRPr="00C02F50" w:rsidRDefault="00C02F50" w:rsidP="00C02F50">
      <w:pPr>
        <w:numPr>
          <w:ilvl w:val="0"/>
          <w:numId w:val="11"/>
        </w:numPr>
        <w:contextualSpacing/>
        <w:jc w:val="both"/>
        <w:rPr>
          <w:rFonts w:ascii="Calibri" w:eastAsia="Calibri" w:hAnsi="Calibri" w:cs="Times New Roman"/>
        </w:rPr>
      </w:pPr>
      <w:r w:rsidRPr="00C02F50">
        <w:rPr>
          <w:rFonts w:ascii="Calibri" w:eastAsia="Calibri" w:hAnsi="Calibri" w:cs="Times New Roman"/>
        </w:rPr>
        <w:t>Dokumentacja związana z realizacją oferty</w:t>
      </w:r>
    </w:p>
    <w:p w14:paraId="7E332BD7" w14:textId="77777777" w:rsidR="00C02F50" w:rsidRPr="00C02F50" w:rsidRDefault="00C02F50" w:rsidP="00C02F50">
      <w:pPr>
        <w:numPr>
          <w:ilvl w:val="0"/>
          <w:numId w:val="13"/>
        </w:numPr>
        <w:contextualSpacing/>
        <w:jc w:val="both"/>
        <w:rPr>
          <w:rFonts w:ascii="Calibri" w:eastAsia="Calibri" w:hAnsi="Calibri" w:cs="Times New Roman"/>
        </w:rPr>
      </w:pPr>
      <w:r w:rsidRPr="00C02F50">
        <w:rPr>
          <w:rFonts w:ascii="Calibri" w:eastAsia="Calibri" w:hAnsi="Calibri" w:cs="Times New Roman"/>
        </w:rPr>
        <w:t>Koszty wynagrodzeń ponoszone na podstawie pisemnej umowy o pracę, umowy zlecenia lub innej umowy cywilno-prawnej rozliczane są za pomocą list płac, faktur, rachunków.</w:t>
      </w:r>
    </w:p>
    <w:p w14:paraId="0C25D4C4" w14:textId="77777777" w:rsidR="00C02F50" w:rsidRPr="00C02F50" w:rsidRDefault="00C02F50" w:rsidP="00C02F50">
      <w:pPr>
        <w:numPr>
          <w:ilvl w:val="0"/>
          <w:numId w:val="13"/>
        </w:numPr>
        <w:contextualSpacing/>
        <w:jc w:val="both"/>
        <w:rPr>
          <w:rFonts w:ascii="Calibri" w:eastAsia="Calibri" w:hAnsi="Calibri" w:cs="Times New Roman"/>
        </w:rPr>
      </w:pPr>
      <w:r w:rsidRPr="00C02F50">
        <w:rPr>
          <w:rFonts w:ascii="Calibri" w:eastAsia="Calibri" w:hAnsi="Calibri" w:cs="Times New Roman"/>
        </w:rPr>
        <w:t>Pozostałe koszty mogą być ponoszone w szczególności na podstawie faktur, rachunków, polis ubezpieczeniowych, biletów lub dokumentów rozliczenia podróży służbowych.</w:t>
      </w:r>
    </w:p>
    <w:p w14:paraId="226007D8" w14:textId="77777777" w:rsidR="00C02F50" w:rsidRPr="00C02F50" w:rsidRDefault="00C02F50" w:rsidP="00C02F50">
      <w:pPr>
        <w:numPr>
          <w:ilvl w:val="0"/>
          <w:numId w:val="13"/>
        </w:numPr>
        <w:contextualSpacing/>
        <w:jc w:val="both"/>
        <w:rPr>
          <w:rFonts w:ascii="Calibri" w:eastAsia="Calibri" w:hAnsi="Calibri" w:cs="Times New Roman"/>
        </w:rPr>
      </w:pPr>
      <w:r w:rsidRPr="00C02F50">
        <w:rPr>
          <w:rFonts w:ascii="Calibri" w:eastAsia="Calibri" w:hAnsi="Calibri" w:cs="Times New Roman"/>
        </w:rPr>
        <w:t xml:space="preserve">Wkład własny niefinansowy (osobowy i/lub rzeczowy) może zostać rozliczony w szczególności na podstawie: umowy użyczenia (wkład rzeczowy), umowy </w:t>
      </w:r>
      <w:proofErr w:type="spellStart"/>
      <w:r w:rsidRPr="00C02F50">
        <w:rPr>
          <w:rFonts w:ascii="Calibri" w:eastAsia="Calibri" w:hAnsi="Calibri" w:cs="Times New Roman"/>
        </w:rPr>
        <w:t>wolontariackiej</w:t>
      </w:r>
      <w:proofErr w:type="spellEnd"/>
      <w:r w:rsidRPr="00C02F50">
        <w:rPr>
          <w:rFonts w:ascii="Calibri" w:eastAsia="Calibri" w:hAnsi="Calibri" w:cs="Times New Roman"/>
        </w:rPr>
        <w:t xml:space="preserve"> (wkład osobowy).</w:t>
      </w:r>
    </w:p>
    <w:p w14:paraId="5919BC7D" w14:textId="77777777" w:rsidR="00C02F50" w:rsidRPr="00C02F50" w:rsidRDefault="00C02F50" w:rsidP="00C02F50">
      <w:pPr>
        <w:numPr>
          <w:ilvl w:val="0"/>
          <w:numId w:val="13"/>
        </w:numPr>
        <w:contextualSpacing/>
        <w:jc w:val="both"/>
        <w:rPr>
          <w:rFonts w:ascii="Calibri" w:eastAsia="Calibri" w:hAnsi="Calibri" w:cs="Times New Roman"/>
        </w:rPr>
      </w:pPr>
      <w:r w:rsidRPr="00C02F50">
        <w:rPr>
          <w:rFonts w:ascii="Calibri" w:eastAsia="Calibri" w:hAnsi="Calibri" w:cs="Times New Roman"/>
        </w:rPr>
        <w:t xml:space="preserve">W przypadku grupy nieformalnej dopuszczalne będzie oprócz rachunków oświadczenie o poniesionym koszcie. </w:t>
      </w:r>
    </w:p>
    <w:p w14:paraId="4B60EB24" w14:textId="77777777" w:rsidR="00C02F50" w:rsidRPr="00C02F50" w:rsidRDefault="00C02F50" w:rsidP="00C02F50">
      <w:pPr>
        <w:numPr>
          <w:ilvl w:val="0"/>
          <w:numId w:val="11"/>
        </w:numPr>
        <w:contextualSpacing/>
        <w:jc w:val="both"/>
        <w:rPr>
          <w:rFonts w:ascii="Calibri" w:eastAsia="Calibri" w:hAnsi="Calibri" w:cs="Times New Roman"/>
        </w:rPr>
      </w:pPr>
      <w:r w:rsidRPr="00C02F50">
        <w:rPr>
          <w:rFonts w:ascii="Calibri" w:eastAsia="Calibri" w:hAnsi="Calibri" w:cs="Times New Roman"/>
        </w:rPr>
        <w:t>Zleceniobiorca zobowiązany jest do podejmowania działań informacyjnych dotyczących dofinansowania zadania publicznego w ramach Konkursu.</w:t>
      </w:r>
    </w:p>
    <w:p w14:paraId="602994D9" w14:textId="77777777" w:rsidR="00C02F50" w:rsidRPr="00C02F50" w:rsidRDefault="00C02F50" w:rsidP="00C02F50">
      <w:pPr>
        <w:numPr>
          <w:ilvl w:val="0"/>
          <w:numId w:val="11"/>
        </w:numPr>
        <w:contextualSpacing/>
        <w:jc w:val="both"/>
        <w:rPr>
          <w:rFonts w:ascii="Calibri" w:eastAsia="Calibri" w:hAnsi="Calibri" w:cs="Times New Roman"/>
        </w:rPr>
      </w:pPr>
      <w:r w:rsidRPr="00C02F50">
        <w:rPr>
          <w:rFonts w:ascii="Calibri" w:eastAsia="Calibri" w:hAnsi="Calibri" w:cs="Times New Roman"/>
        </w:rPr>
        <w:t>Obowiązki sprawozdawcze</w:t>
      </w:r>
    </w:p>
    <w:p w14:paraId="364041B1" w14:textId="77777777" w:rsidR="00C02F50" w:rsidRPr="00C02F50" w:rsidRDefault="00C02F50" w:rsidP="00C02F50">
      <w:pPr>
        <w:numPr>
          <w:ilvl w:val="0"/>
          <w:numId w:val="14"/>
        </w:numPr>
        <w:contextualSpacing/>
        <w:jc w:val="both"/>
        <w:rPr>
          <w:rFonts w:ascii="Calibri" w:eastAsia="Calibri" w:hAnsi="Calibri" w:cs="Times New Roman"/>
        </w:rPr>
      </w:pPr>
      <w:r w:rsidRPr="00C02F50">
        <w:rPr>
          <w:rFonts w:ascii="Calibri" w:eastAsia="Calibri" w:hAnsi="Calibri" w:cs="Times New Roman"/>
        </w:rPr>
        <w:t>Dotowany będzie zobowiązany przygotować końcowe sprawozdanie merytoryczne oraz finansowe, zgodnie ze standardowymi formularzami oraz instrukcją udostępnianymi po podpisaniu umowy dotacji. Do sprawozdania finansowego należy załączyć wszystkie kopie dowodów księgowych oraz dowód zapłaty poniesionych koszów.</w:t>
      </w:r>
    </w:p>
    <w:p w14:paraId="5A24FC9D" w14:textId="77777777" w:rsidR="00C02F50" w:rsidRPr="00C02F50" w:rsidRDefault="00C02F50" w:rsidP="00C02F50">
      <w:pPr>
        <w:numPr>
          <w:ilvl w:val="0"/>
          <w:numId w:val="14"/>
        </w:numPr>
        <w:contextualSpacing/>
        <w:jc w:val="both"/>
        <w:rPr>
          <w:rFonts w:ascii="Calibri" w:eastAsia="Calibri" w:hAnsi="Calibri" w:cs="Times New Roman"/>
        </w:rPr>
      </w:pPr>
      <w:r w:rsidRPr="00C02F50">
        <w:rPr>
          <w:rFonts w:ascii="Calibri" w:eastAsia="Calibri" w:hAnsi="Calibri" w:cs="Times New Roman"/>
        </w:rPr>
        <w:t>Podmioty, które otrzymają dotację są zobowiązane do informowania o źródle pochodzenia funduszy na zasadach określonych w umowie dotacji.</w:t>
      </w:r>
    </w:p>
    <w:p w14:paraId="57FC00A7" w14:textId="77777777" w:rsidR="00C02F50" w:rsidRPr="00C02F50" w:rsidRDefault="00C02F50" w:rsidP="00C02F50">
      <w:pPr>
        <w:numPr>
          <w:ilvl w:val="0"/>
          <w:numId w:val="14"/>
        </w:numPr>
        <w:contextualSpacing/>
        <w:jc w:val="both"/>
        <w:rPr>
          <w:rFonts w:ascii="Calibri" w:eastAsia="Calibri" w:hAnsi="Calibri" w:cs="Times New Roman"/>
        </w:rPr>
      </w:pPr>
      <w:r w:rsidRPr="00C02F50">
        <w:rPr>
          <w:rFonts w:ascii="Calibri" w:eastAsia="Calibri" w:hAnsi="Calibri" w:cs="Times New Roman"/>
        </w:rPr>
        <w:lastRenderedPageBreak/>
        <w:t>SWP ma prawo do monitorowania i ewaluacji projektu w trakcie jego trwania, m.in. poprzez obecność przy realizacji poszczególnych działań. SWP jest również uprawnione do prowadzenia kontroli merytorycznej i finansowej w odniesieniu do realizowanego projektu.</w:t>
      </w:r>
    </w:p>
    <w:p w14:paraId="79B1FCE7" w14:textId="77777777" w:rsidR="00C02F50" w:rsidRPr="00C02F50" w:rsidRDefault="00C02F50" w:rsidP="00C02F50">
      <w:pPr>
        <w:numPr>
          <w:ilvl w:val="0"/>
          <w:numId w:val="3"/>
        </w:numPr>
        <w:contextualSpacing/>
        <w:jc w:val="both"/>
        <w:rPr>
          <w:rFonts w:ascii="Calibri" w:eastAsia="Calibri" w:hAnsi="Calibri" w:cs="Times New Roman"/>
        </w:rPr>
      </w:pPr>
      <w:r w:rsidRPr="00C02F50">
        <w:rPr>
          <w:rFonts w:ascii="Calibri" w:eastAsia="Calibri" w:hAnsi="Calibri" w:cs="Times New Roman"/>
        </w:rPr>
        <w:t>Dodatkowe informacje</w:t>
      </w:r>
    </w:p>
    <w:p w14:paraId="3C401BE2" w14:textId="77777777" w:rsidR="00C02F50" w:rsidRPr="00C02F50" w:rsidRDefault="00C02F50" w:rsidP="00C02F50">
      <w:pPr>
        <w:numPr>
          <w:ilvl w:val="0"/>
          <w:numId w:val="22"/>
        </w:numPr>
        <w:contextualSpacing/>
        <w:jc w:val="both"/>
        <w:rPr>
          <w:rFonts w:ascii="Calibri" w:eastAsia="Calibri" w:hAnsi="Calibri" w:cs="Times New Roman"/>
        </w:rPr>
      </w:pPr>
      <w:r w:rsidRPr="00C02F50">
        <w:rPr>
          <w:rFonts w:ascii="Calibri" w:eastAsia="Calibri" w:hAnsi="Calibri" w:cs="Times New Roman"/>
        </w:rPr>
        <w:t>Imię i nazwisko osoby udzielającej wyjaśnień- Iwona Tarnogórska-Sulik</w:t>
      </w:r>
    </w:p>
    <w:p w14:paraId="027A9196" w14:textId="77777777" w:rsidR="00C02F50" w:rsidRPr="00C02F50" w:rsidRDefault="00C02F50" w:rsidP="00C02F50">
      <w:pPr>
        <w:numPr>
          <w:ilvl w:val="0"/>
          <w:numId w:val="15"/>
        </w:numPr>
        <w:contextualSpacing/>
        <w:jc w:val="both"/>
        <w:rPr>
          <w:rFonts w:ascii="Calibri" w:eastAsia="Calibri" w:hAnsi="Calibri" w:cs="Times New Roman"/>
        </w:rPr>
      </w:pPr>
      <w:r w:rsidRPr="00C02F50">
        <w:rPr>
          <w:rFonts w:ascii="Calibri" w:eastAsia="Calibri" w:hAnsi="Calibri" w:cs="Times New Roman"/>
        </w:rPr>
        <w:t>Numer telefonu kontaktowy do organizatora konkursu  532 430 761 lub 22 556 90 57 czynny od godz.  10:00 do godz. 17:00</w:t>
      </w:r>
    </w:p>
    <w:p w14:paraId="332FCADC" w14:textId="77777777" w:rsidR="00C02F50" w:rsidRPr="00C02F50" w:rsidRDefault="00C02F50" w:rsidP="00C02F50">
      <w:pPr>
        <w:numPr>
          <w:ilvl w:val="0"/>
          <w:numId w:val="15"/>
        </w:numPr>
        <w:contextualSpacing/>
        <w:jc w:val="both"/>
        <w:rPr>
          <w:rFonts w:ascii="Calibri" w:eastAsia="Calibri" w:hAnsi="Calibri" w:cs="Times New Roman"/>
        </w:rPr>
      </w:pPr>
      <w:r w:rsidRPr="00C02F50">
        <w:rPr>
          <w:rFonts w:ascii="Calibri" w:eastAsia="Calibri" w:hAnsi="Calibri" w:cs="Times New Roman"/>
        </w:rPr>
        <w:t xml:space="preserve">Mail kontaktowy </w:t>
      </w:r>
      <w:hyperlink r:id="rId11" w:history="1">
        <w:r w:rsidRPr="00C02F50">
          <w:rPr>
            <w:rFonts w:ascii="Calibri" w:eastAsia="Calibri" w:hAnsi="Calibri" w:cs="Times New Roman"/>
            <w:color w:val="0563C1"/>
            <w:u w:val="single"/>
          </w:rPr>
          <w:t>i.tarnogorska@swp.org.pl</w:t>
        </w:r>
      </w:hyperlink>
    </w:p>
    <w:p w14:paraId="4B862993" w14:textId="77777777" w:rsidR="00C02F50" w:rsidRPr="00C02F50" w:rsidRDefault="00C02F50" w:rsidP="00C02F50">
      <w:pPr>
        <w:ind w:left="720"/>
        <w:contextualSpacing/>
        <w:jc w:val="both"/>
        <w:rPr>
          <w:rFonts w:ascii="Calibri" w:eastAsia="Calibri" w:hAnsi="Calibri" w:cs="Times New Roman"/>
        </w:rPr>
      </w:pPr>
    </w:p>
    <w:p w14:paraId="74F5BA1A" w14:textId="77777777" w:rsidR="00C02F50" w:rsidRPr="00C02F50" w:rsidRDefault="00C02F50" w:rsidP="00C02F50">
      <w:pPr>
        <w:ind w:left="360"/>
        <w:jc w:val="both"/>
        <w:rPr>
          <w:rFonts w:ascii="Calibri" w:eastAsia="Calibri" w:hAnsi="Calibri" w:cs="Times New Roman"/>
        </w:rPr>
      </w:pPr>
    </w:p>
    <w:p w14:paraId="11F15F26" w14:textId="068D3398" w:rsidR="00C02F50" w:rsidRPr="00C02F50" w:rsidRDefault="00C02F50" w:rsidP="00C02F50">
      <w:pPr>
        <w:ind w:left="360"/>
        <w:jc w:val="both"/>
        <w:rPr>
          <w:rFonts w:ascii="Calibri" w:eastAsia="Calibri" w:hAnsi="Calibri" w:cs="Times New Roman"/>
        </w:rPr>
      </w:pPr>
      <w:r w:rsidRPr="00C02F50">
        <w:rPr>
          <w:rFonts w:ascii="Calibri" w:eastAsia="Calibri" w:hAnsi="Calibri" w:cs="Times New Roman"/>
        </w:rPr>
        <w:t>Regulamin wchodzi w życie z dniem</w:t>
      </w:r>
      <w:r>
        <w:rPr>
          <w:rFonts w:ascii="Calibri" w:eastAsia="Calibri" w:hAnsi="Calibri" w:cs="Times New Roman"/>
        </w:rPr>
        <w:t xml:space="preserve"> 30.07.2022</w:t>
      </w:r>
    </w:p>
    <w:p w14:paraId="73DBF743" w14:textId="77777777" w:rsidR="00C02F50" w:rsidRPr="00C02F50" w:rsidRDefault="00C02F50" w:rsidP="00C02F50">
      <w:pPr>
        <w:ind w:left="360"/>
        <w:jc w:val="both"/>
        <w:rPr>
          <w:rFonts w:ascii="Calibri" w:eastAsia="Calibri" w:hAnsi="Calibri" w:cs="Times New Roman"/>
        </w:rPr>
      </w:pPr>
      <w:r w:rsidRPr="00C02F50">
        <w:rPr>
          <w:rFonts w:ascii="Calibri" w:eastAsia="Calibri" w:hAnsi="Calibri" w:cs="Times New Roman"/>
        </w:rPr>
        <w:t>Załączniki</w:t>
      </w:r>
    </w:p>
    <w:p w14:paraId="58A9C9F6" w14:textId="77777777" w:rsidR="00C02F50" w:rsidRPr="00C02F50" w:rsidRDefault="00C02F50" w:rsidP="00C02F50">
      <w:pPr>
        <w:numPr>
          <w:ilvl w:val="0"/>
          <w:numId w:val="18"/>
        </w:numPr>
        <w:contextualSpacing/>
        <w:jc w:val="both"/>
        <w:rPr>
          <w:rFonts w:ascii="Calibri" w:eastAsia="Calibri" w:hAnsi="Calibri" w:cs="Times New Roman"/>
        </w:rPr>
      </w:pPr>
      <w:r w:rsidRPr="00C02F50">
        <w:rPr>
          <w:rFonts w:ascii="Calibri" w:eastAsia="Calibri" w:hAnsi="Calibri" w:cs="Times New Roman"/>
        </w:rPr>
        <w:t>Załącznik nr 1 Wzór oferty</w:t>
      </w:r>
    </w:p>
    <w:p w14:paraId="2886FF10" w14:textId="54D6F9B8" w:rsidR="00C02F50" w:rsidRPr="00C02F50" w:rsidRDefault="00C02F50" w:rsidP="00C02F50">
      <w:pPr>
        <w:numPr>
          <w:ilvl w:val="0"/>
          <w:numId w:val="18"/>
        </w:numPr>
        <w:contextualSpacing/>
        <w:jc w:val="both"/>
        <w:rPr>
          <w:rFonts w:ascii="Calibri" w:eastAsia="Calibri" w:hAnsi="Calibri" w:cs="Times New Roman"/>
        </w:rPr>
      </w:pPr>
      <w:r w:rsidRPr="00C02F50">
        <w:rPr>
          <w:rFonts w:ascii="Calibri" w:eastAsia="Calibri" w:hAnsi="Calibri" w:cs="Times New Roman"/>
        </w:rPr>
        <w:t xml:space="preserve">Załącznik nr </w:t>
      </w:r>
      <w:r w:rsidR="00122308">
        <w:rPr>
          <w:rFonts w:ascii="Calibri" w:eastAsia="Calibri" w:hAnsi="Calibri" w:cs="Times New Roman"/>
        </w:rPr>
        <w:t>2</w:t>
      </w:r>
      <w:r w:rsidRPr="00C02F50">
        <w:rPr>
          <w:rFonts w:ascii="Calibri" w:eastAsia="Calibri" w:hAnsi="Calibri" w:cs="Times New Roman"/>
        </w:rPr>
        <w:t xml:space="preserve"> Oświadczenie RODO</w:t>
      </w:r>
    </w:p>
    <w:p w14:paraId="5DF3C55A" w14:textId="12268C21" w:rsidR="00C02F50" w:rsidRPr="00C02F50" w:rsidRDefault="00C02F50" w:rsidP="00C02F50">
      <w:pPr>
        <w:numPr>
          <w:ilvl w:val="0"/>
          <w:numId w:val="18"/>
        </w:numPr>
        <w:contextualSpacing/>
        <w:jc w:val="both"/>
        <w:rPr>
          <w:rFonts w:ascii="Calibri" w:eastAsia="Calibri" w:hAnsi="Calibri" w:cs="Times New Roman"/>
        </w:rPr>
      </w:pPr>
      <w:r w:rsidRPr="00C02F50">
        <w:rPr>
          <w:rFonts w:ascii="Calibri" w:eastAsia="Calibri" w:hAnsi="Calibri" w:cs="Times New Roman"/>
        </w:rPr>
        <w:t xml:space="preserve">Załącznik nr </w:t>
      </w:r>
      <w:r w:rsidR="00122308">
        <w:rPr>
          <w:rFonts w:ascii="Calibri" w:eastAsia="Calibri" w:hAnsi="Calibri" w:cs="Times New Roman"/>
        </w:rPr>
        <w:t>3</w:t>
      </w:r>
      <w:r w:rsidRPr="00C02F50">
        <w:rPr>
          <w:rFonts w:ascii="Calibri" w:eastAsia="Calibri" w:hAnsi="Calibri" w:cs="Times New Roman"/>
        </w:rPr>
        <w:t xml:space="preserve"> Karta Oceny Formalnej</w:t>
      </w:r>
    </w:p>
    <w:p w14:paraId="6BE704E7" w14:textId="39DBF5F0" w:rsidR="00C02F50" w:rsidRPr="00C02F50" w:rsidRDefault="00C02F50" w:rsidP="00C02F50">
      <w:pPr>
        <w:numPr>
          <w:ilvl w:val="0"/>
          <w:numId w:val="18"/>
        </w:numPr>
        <w:contextualSpacing/>
        <w:jc w:val="both"/>
        <w:rPr>
          <w:rFonts w:ascii="Calibri" w:eastAsia="Calibri" w:hAnsi="Calibri" w:cs="Times New Roman"/>
        </w:rPr>
      </w:pPr>
      <w:r w:rsidRPr="00C02F50">
        <w:rPr>
          <w:rFonts w:ascii="Calibri" w:eastAsia="Calibri" w:hAnsi="Calibri" w:cs="Times New Roman"/>
        </w:rPr>
        <w:t xml:space="preserve">Załącznik nr </w:t>
      </w:r>
      <w:r w:rsidR="00122308">
        <w:rPr>
          <w:rFonts w:ascii="Calibri" w:eastAsia="Calibri" w:hAnsi="Calibri" w:cs="Times New Roman"/>
        </w:rPr>
        <w:t>4</w:t>
      </w:r>
      <w:r w:rsidRPr="00C02F50">
        <w:rPr>
          <w:rFonts w:ascii="Calibri" w:eastAsia="Calibri" w:hAnsi="Calibri" w:cs="Times New Roman"/>
        </w:rPr>
        <w:t xml:space="preserve"> Karta Oceny Merytorycznej</w:t>
      </w:r>
    </w:p>
    <w:p w14:paraId="18B411C0" w14:textId="77777777" w:rsidR="00C02F50" w:rsidRPr="00C02F50" w:rsidRDefault="00C02F50" w:rsidP="00C02F50">
      <w:pPr>
        <w:ind w:left="720"/>
        <w:contextualSpacing/>
        <w:jc w:val="both"/>
        <w:rPr>
          <w:rFonts w:ascii="Calibri" w:eastAsia="Calibri" w:hAnsi="Calibri" w:cs="Times New Roman"/>
        </w:rPr>
      </w:pPr>
    </w:p>
    <w:p w14:paraId="4F19A1BB" w14:textId="77777777" w:rsidR="00C02F50" w:rsidRPr="00C02F50" w:rsidRDefault="00C02F50" w:rsidP="00C02F50">
      <w:pPr>
        <w:jc w:val="both"/>
        <w:rPr>
          <w:rFonts w:ascii="Calibri" w:eastAsia="Calibri" w:hAnsi="Calibri" w:cs="Times New Roman"/>
        </w:rPr>
      </w:pPr>
    </w:p>
    <w:p w14:paraId="7FB6F848" w14:textId="77777777" w:rsidR="00186D4A" w:rsidRPr="00186D4A" w:rsidRDefault="00186D4A" w:rsidP="00186D4A">
      <w:pPr>
        <w:spacing w:after="0" w:line="276" w:lineRule="auto"/>
        <w:ind w:left="360"/>
        <w:rPr>
          <w:rFonts w:ascii="Garamond" w:hAnsi="Garamond"/>
          <w:color w:val="000000" w:themeColor="text1"/>
          <w:sz w:val="28"/>
          <w:szCs w:val="28"/>
        </w:rPr>
      </w:pPr>
    </w:p>
    <w:sectPr w:rsidR="00186D4A" w:rsidRPr="00186D4A" w:rsidSect="00CB23A9">
      <w:headerReference w:type="default" r:id="rId12"/>
      <w:footerReference w:type="default" r:id="rId13"/>
      <w:pgSz w:w="11906" w:h="16838"/>
      <w:pgMar w:top="2381" w:right="1418" w:bottom="1871" w:left="1418" w:header="2155"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E613" w14:textId="77777777" w:rsidR="00A430A8" w:rsidRDefault="00A430A8" w:rsidP="00B93F6F">
      <w:pPr>
        <w:spacing w:after="0" w:line="240" w:lineRule="auto"/>
      </w:pPr>
      <w:r>
        <w:separator/>
      </w:r>
    </w:p>
  </w:endnote>
  <w:endnote w:type="continuationSeparator" w:id="0">
    <w:p w14:paraId="13ED9C49" w14:textId="77777777" w:rsidR="00A430A8" w:rsidRDefault="00A430A8" w:rsidP="00B9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2B4B" w14:textId="77777777" w:rsidR="00B93F6F" w:rsidRDefault="00B93F6F">
    <w:pPr>
      <w:pStyle w:val="Stopka"/>
    </w:pPr>
    <w:r>
      <w:rPr>
        <w:noProof/>
        <w:lang w:eastAsia="pl-PL"/>
      </w:rPr>
      <w:drawing>
        <wp:anchor distT="0" distB="0" distL="114300" distR="114300" simplePos="0" relativeHeight="251659264" behindDoc="1" locked="0" layoutInCell="1" allowOverlap="1" wp14:anchorId="29F7216E" wp14:editId="08CA3B5A">
          <wp:simplePos x="0" y="0"/>
          <wp:positionH relativeFrom="column">
            <wp:posOffset>-890270</wp:posOffset>
          </wp:positionH>
          <wp:positionV relativeFrom="paragraph">
            <wp:posOffset>-65405</wp:posOffset>
          </wp:positionV>
          <wp:extent cx="7560000" cy="1188391"/>
          <wp:effectExtent l="0" t="0" r="3175" b="0"/>
          <wp:wrapNone/>
          <wp:docPr id="210" name="Obraz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k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883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2AA5" w14:textId="77777777" w:rsidR="00A430A8" w:rsidRDefault="00A430A8" w:rsidP="00B93F6F">
      <w:pPr>
        <w:spacing w:after="0" w:line="240" w:lineRule="auto"/>
      </w:pPr>
      <w:r>
        <w:separator/>
      </w:r>
    </w:p>
  </w:footnote>
  <w:footnote w:type="continuationSeparator" w:id="0">
    <w:p w14:paraId="3A1BACE1" w14:textId="77777777" w:rsidR="00A430A8" w:rsidRDefault="00A430A8" w:rsidP="00B93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551F" w14:textId="77777777" w:rsidR="00B93F6F" w:rsidRDefault="00B93F6F">
    <w:pPr>
      <w:pStyle w:val="Nagwek"/>
    </w:pPr>
    <w:r>
      <w:rPr>
        <w:noProof/>
        <w:lang w:eastAsia="pl-PL"/>
      </w:rPr>
      <w:drawing>
        <wp:anchor distT="0" distB="0" distL="114300" distR="114300" simplePos="0" relativeHeight="251658240" behindDoc="0" locked="0" layoutInCell="1" allowOverlap="1" wp14:anchorId="1045D025" wp14:editId="614EE013">
          <wp:simplePos x="0" y="0"/>
          <wp:positionH relativeFrom="page">
            <wp:posOffset>0</wp:posOffset>
          </wp:positionH>
          <wp:positionV relativeFrom="page">
            <wp:posOffset>6350</wp:posOffset>
          </wp:positionV>
          <wp:extent cx="7560000" cy="1514437"/>
          <wp:effectExtent l="0" t="0" r="3175" b="0"/>
          <wp:wrapNone/>
          <wp:docPr id="209" name="Obraz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144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2998"/>
    <w:multiLevelType w:val="hybridMultilevel"/>
    <w:tmpl w:val="E0F48E9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016275D"/>
    <w:multiLevelType w:val="hybridMultilevel"/>
    <w:tmpl w:val="B6126AAC"/>
    <w:lvl w:ilvl="0" w:tplc="61BE43B6">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7A6845"/>
    <w:multiLevelType w:val="hybridMultilevel"/>
    <w:tmpl w:val="447E1396"/>
    <w:lvl w:ilvl="0" w:tplc="84CE4F52">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8C549F"/>
    <w:multiLevelType w:val="hybridMultilevel"/>
    <w:tmpl w:val="569E5F84"/>
    <w:lvl w:ilvl="0" w:tplc="010EC012">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8C2463"/>
    <w:multiLevelType w:val="hybridMultilevel"/>
    <w:tmpl w:val="6360D4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0016CE"/>
    <w:multiLevelType w:val="hybridMultilevel"/>
    <w:tmpl w:val="3AAAD7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AB448D"/>
    <w:multiLevelType w:val="hybridMultilevel"/>
    <w:tmpl w:val="663C93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A64FFE"/>
    <w:multiLevelType w:val="hybridMultilevel"/>
    <w:tmpl w:val="01AC794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7C800F8"/>
    <w:multiLevelType w:val="hybridMultilevel"/>
    <w:tmpl w:val="CAB890D8"/>
    <w:lvl w:ilvl="0" w:tplc="DDFA800C">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342732"/>
    <w:multiLevelType w:val="hybridMultilevel"/>
    <w:tmpl w:val="2AA6A918"/>
    <w:lvl w:ilvl="0" w:tplc="609A8E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AB5FBE"/>
    <w:multiLevelType w:val="hybridMultilevel"/>
    <w:tmpl w:val="AE5C9D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654554"/>
    <w:multiLevelType w:val="hybridMultilevel"/>
    <w:tmpl w:val="C2F47F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1857D2"/>
    <w:multiLevelType w:val="hybridMultilevel"/>
    <w:tmpl w:val="0C6249D0"/>
    <w:lvl w:ilvl="0" w:tplc="36084C88">
      <w:start w:val="1"/>
      <w:numFmt w:val="decimal"/>
      <w:lvlText w:val="%1."/>
      <w:lvlJc w:val="left"/>
      <w:pPr>
        <w:ind w:left="720" w:hanging="360"/>
      </w:pPr>
      <w:rPr>
        <w:rFonts w:hint="default"/>
      </w:rPr>
    </w:lvl>
    <w:lvl w:ilvl="1" w:tplc="95AC6D38">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944712"/>
    <w:multiLevelType w:val="hybridMultilevel"/>
    <w:tmpl w:val="B42A4C00"/>
    <w:lvl w:ilvl="0" w:tplc="371A4642">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3E1580"/>
    <w:multiLevelType w:val="hybridMultilevel"/>
    <w:tmpl w:val="97A2A1B2"/>
    <w:lvl w:ilvl="0" w:tplc="FE4C570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F65ADE"/>
    <w:multiLevelType w:val="hybridMultilevel"/>
    <w:tmpl w:val="79D2D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BA56221"/>
    <w:multiLevelType w:val="hybridMultilevel"/>
    <w:tmpl w:val="9118DD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7135FC"/>
    <w:multiLevelType w:val="hybridMultilevel"/>
    <w:tmpl w:val="FD5EC9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7471FF"/>
    <w:multiLevelType w:val="hybridMultilevel"/>
    <w:tmpl w:val="0FDCDA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A60E28"/>
    <w:multiLevelType w:val="hybridMultilevel"/>
    <w:tmpl w:val="A95A84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751AE7"/>
    <w:multiLevelType w:val="hybridMultilevel"/>
    <w:tmpl w:val="B846FD86"/>
    <w:lvl w:ilvl="0" w:tplc="B0B49FAE">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D669FC"/>
    <w:multiLevelType w:val="hybridMultilevel"/>
    <w:tmpl w:val="4BC8C3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01864987">
    <w:abstractNumId w:val="15"/>
  </w:num>
  <w:num w:numId="2" w16cid:durableId="633368585">
    <w:abstractNumId w:val="1"/>
  </w:num>
  <w:num w:numId="3" w16cid:durableId="1291939579">
    <w:abstractNumId w:val="12"/>
  </w:num>
  <w:num w:numId="4" w16cid:durableId="1923181368">
    <w:abstractNumId w:val="0"/>
  </w:num>
  <w:num w:numId="5" w16cid:durableId="498932605">
    <w:abstractNumId w:val="3"/>
  </w:num>
  <w:num w:numId="6" w16cid:durableId="769081075">
    <w:abstractNumId w:val="13"/>
  </w:num>
  <w:num w:numId="7" w16cid:durableId="596987097">
    <w:abstractNumId w:val="14"/>
  </w:num>
  <w:num w:numId="8" w16cid:durableId="1675956402">
    <w:abstractNumId w:val="19"/>
  </w:num>
  <w:num w:numId="9" w16cid:durableId="927351773">
    <w:abstractNumId w:val="8"/>
  </w:num>
  <w:num w:numId="10" w16cid:durableId="1236015749">
    <w:abstractNumId w:val="20"/>
  </w:num>
  <w:num w:numId="11" w16cid:durableId="76563972">
    <w:abstractNumId w:val="2"/>
  </w:num>
  <w:num w:numId="12" w16cid:durableId="1181117620">
    <w:abstractNumId w:val="18"/>
  </w:num>
  <w:num w:numId="13" w16cid:durableId="1909536199">
    <w:abstractNumId w:val="11"/>
  </w:num>
  <w:num w:numId="14" w16cid:durableId="1674143884">
    <w:abstractNumId w:val="10"/>
  </w:num>
  <w:num w:numId="15" w16cid:durableId="570310381">
    <w:abstractNumId w:val="4"/>
  </w:num>
  <w:num w:numId="16" w16cid:durableId="1249802656">
    <w:abstractNumId w:val="17"/>
  </w:num>
  <w:num w:numId="17" w16cid:durableId="1066343726">
    <w:abstractNumId w:val="6"/>
  </w:num>
  <w:num w:numId="18" w16cid:durableId="918250972">
    <w:abstractNumId w:val="9"/>
  </w:num>
  <w:num w:numId="19" w16cid:durableId="103549058">
    <w:abstractNumId w:val="16"/>
  </w:num>
  <w:num w:numId="20" w16cid:durableId="305283401">
    <w:abstractNumId w:val="5"/>
  </w:num>
  <w:num w:numId="21" w16cid:durableId="1507407224">
    <w:abstractNumId w:val="7"/>
  </w:num>
  <w:num w:numId="22" w16cid:durableId="20502969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C7"/>
    <w:rsid w:val="00031AB9"/>
    <w:rsid w:val="00053CD1"/>
    <w:rsid w:val="000C1535"/>
    <w:rsid w:val="000F5BD4"/>
    <w:rsid w:val="00106A87"/>
    <w:rsid w:val="00122308"/>
    <w:rsid w:val="00186D4A"/>
    <w:rsid w:val="00196D49"/>
    <w:rsid w:val="001B56B3"/>
    <w:rsid w:val="001D5E91"/>
    <w:rsid w:val="001E5B54"/>
    <w:rsid w:val="001F3FAF"/>
    <w:rsid w:val="0021476C"/>
    <w:rsid w:val="0022642A"/>
    <w:rsid w:val="00231148"/>
    <w:rsid w:val="00245FE9"/>
    <w:rsid w:val="002C5F73"/>
    <w:rsid w:val="003100D7"/>
    <w:rsid w:val="00332EE7"/>
    <w:rsid w:val="00341F8D"/>
    <w:rsid w:val="00343323"/>
    <w:rsid w:val="00375226"/>
    <w:rsid w:val="003C1791"/>
    <w:rsid w:val="003F1BFE"/>
    <w:rsid w:val="00401F2D"/>
    <w:rsid w:val="00412D8A"/>
    <w:rsid w:val="00451910"/>
    <w:rsid w:val="00455C6B"/>
    <w:rsid w:val="00463357"/>
    <w:rsid w:val="00481F45"/>
    <w:rsid w:val="004B658D"/>
    <w:rsid w:val="004C0BF9"/>
    <w:rsid w:val="004D6362"/>
    <w:rsid w:val="004F07D3"/>
    <w:rsid w:val="00507C09"/>
    <w:rsid w:val="005231C0"/>
    <w:rsid w:val="0053162B"/>
    <w:rsid w:val="005B72CC"/>
    <w:rsid w:val="005C52D6"/>
    <w:rsid w:val="00602FD2"/>
    <w:rsid w:val="00625704"/>
    <w:rsid w:val="00652D61"/>
    <w:rsid w:val="00690DB5"/>
    <w:rsid w:val="00695DE8"/>
    <w:rsid w:val="006A6EB8"/>
    <w:rsid w:val="006D1FB1"/>
    <w:rsid w:val="006F5170"/>
    <w:rsid w:val="00786166"/>
    <w:rsid w:val="00795E71"/>
    <w:rsid w:val="007976D6"/>
    <w:rsid w:val="007E75A3"/>
    <w:rsid w:val="0084204B"/>
    <w:rsid w:val="008529A6"/>
    <w:rsid w:val="008650F4"/>
    <w:rsid w:val="008974C7"/>
    <w:rsid w:val="008A45BD"/>
    <w:rsid w:val="008A64E3"/>
    <w:rsid w:val="009266D0"/>
    <w:rsid w:val="00960526"/>
    <w:rsid w:val="00975C35"/>
    <w:rsid w:val="009B000A"/>
    <w:rsid w:val="00A35B2A"/>
    <w:rsid w:val="00A401E3"/>
    <w:rsid w:val="00A430A8"/>
    <w:rsid w:val="00A64353"/>
    <w:rsid w:val="00B40B49"/>
    <w:rsid w:val="00B62727"/>
    <w:rsid w:val="00B84374"/>
    <w:rsid w:val="00B93F6F"/>
    <w:rsid w:val="00C02F50"/>
    <w:rsid w:val="00C15EF2"/>
    <w:rsid w:val="00C208B7"/>
    <w:rsid w:val="00C34FF2"/>
    <w:rsid w:val="00CB23A9"/>
    <w:rsid w:val="00D13400"/>
    <w:rsid w:val="00DB54DF"/>
    <w:rsid w:val="00E46561"/>
    <w:rsid w:val="00E549A2"/>
    <w:rsid w:val="00E61104"/>
    <w:rsid w:val="00E92264"/>
    <w:rsid w:val="00F43F77"/>
    <w:rsid w:val="00F53B9C"/>
    <w:rsid w:val="00FA30BB"/>
    <w:rsid w:val="00FF1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C710E"/>
  <w15:docId w15:val="{9BF08396-93A6-4AEC-8513-DD6A33CF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3F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3F6F"/>
  </w:style>
  <w:style w:type="paragraph" w:styleId="Stopka">
    <w:name w:val="footer"/>
    <w:basedOn w:val="Normalny"/>
    <w:link w:val="StopkaZnak"/>
    <w:uiPriority w:val="99"/>
    <w:unhideWhenUsed/>
    <w:rsid w:val="00B93F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3F6F"/>
  </w:style>
  <w:style w:type="paragraph" w:styleId="Akapitzlist">
    <w:name w:val="List Paragraph"/>
    <w:basedOn w:val="Normalny"/>
    <w:uiPriority w:val="34"/>
    <w:qFormat/>
    <w:rsid w:val="00186D4A"/>
    <w:pPr>
      <w:ind w:left="720"/>
      <w:contextualSpacing/>
    </w:pPr>
  </w:style>
  <w:style w:type="character" w:styleId="Uwydatnienie">
    <w:name w:val="Emphasis"/>
    <w:basedOn w:val="Domylnaczcionkaakapitu"/>
    <w:uiPriority w:val="20"/>
    <w:qFormat/>
    <w:rsid w:val="00186D4A"/>
    <w:rPr>
      <w:i/>
      <w:iCs/>
    </w:rPr>
  </w:style>
  <w:style w:type="table" w:customStyle="1" w:styleId="Tabela-Siatka1">
    <w:name w:val="Tabela - Siatka1"/>
    <w:basedOn w:val="Standardowy"/>
    <w:next w:val="Tabela-Siatka"/>
    <w:uiPriority w:val="39"/>
    <w:rsid w:val="00C0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C0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nioski@swp.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arnogorska@swp.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tarnogorska@swp.org.pl" TargetMode="External"/><Relationship Id="rId4" Type="http://schemas.openxmlformats.org/officeDocument/2006/relationships/settings" Target="settings.xml"/><Relationship Id="rId9" Type="http://schemas.openxmlformats.org/officeDocument/2006/relationships/hyperlink" Target="mailto:wnioski@swp.or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FC594-8B08-7347-BFBB-077B1717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2009</Words>
  <Characters>12060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Świstak</dc:creator>
  <cp:keywords/>
  <dc:description/>
  <cp:lastModifiedBy>Iwona Tarnogórska</cp:lastModifiedBy>
  <cp:revision>4</cp:revision>
  <cp:lastPrinted>2018-07-10T13:37:00Z</cp:lastPrinted>
  <dcterms:created xsi:type="dcterms:W3CDTF">2022-07-06T12:05:00Z</dcterms:created>
  <dcterms:modified xsi:type="dcterms:W3CDTF">2022-07-06T12:08:00Z</dcterms:modified>
</cp:coreProperties>
</file>